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w:t>
              <w:br/>
              <w:t xml:space="preserve">(введен в действие Приказом Росстандарта от 29.06.2021 N 599-ст)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07.07.2026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p>
      <w:pPr>
        <w:pStyle w:val="0"/>
        <w:outlineLvl w:val="0"/>
        <w:jc w:val="right"/>
      </w:pPr>
      <w:r>
        <w:rPr>
          <w:sz w:val="24"/>
        </w:rPr>
        <w:t xml:space="preserve">Введен в действие</w:t>
      </w:r>
    </w:p>
    <w:p>
      <w:pPr>
        <w:pStyle w:val="0"/>
        <w:jc w:val="right"/>
      </w:pPr>
      <w:hyperlink w:history="0" r:id="rId8" w:tooltip="Приказ Росстандарта от 29.06.2021 N 599-ст (ред. от 21.06.2022) &quot;О введении в действие межгосударственного стандарта&quot; {КонсультантПлюс}">
        <w:r>
          <w:rPr>
            <w:sz w:val="24"/>
            <w:color w:val="0000ff"/>
          </w:rPr>
          <w:t xml:space="preserve">Приказом</w:t>
        </w:r>
      </w:hyperlink>
      <w:r>
        <w:rPr>
          <w:sz w:val="24"/>
        </w:rPr>
        <w:t xml:space="preserve"> Федерального</w:t>
      </w:r>
    </w:p>
    <w:p>
      <w:pPr>
        <w:pStyle w:val="0"/>
        <w:jc w:val="right"/>
      </w:pPr>
      <w:r>
        <w:rPr>
          <w:sz w:val="24"/>
        </w:rPr>
        <w:t xml:space="preserve">агентства по техническому</w:t>
      </w:r>
    </w:p>
    <w:p>
      <w:pPr>
        <w:pStyle w:val="0"/>
        <w:jc w:val="right"/>
      </w:pPr>
      <w:r>
        <w:rPr>
          <w:sz w:val="24"/>
        </w:rPr>
        <w:t xml:space="preserve">регулированию и метрологии</w:t>
      </w:r>
    </w:p>
    <w:p>
      <w:pPr>
        <w:pStyle w:val="0"/>
        <w:jc w:val="right"/>
      </w:pPr>
      <w:r>
        <w:rPr>
          <w:sz w:val="24"/>
        </w:rPr>
        <w:t xml:space="preserve">от 29 июня 2021 г. N 599-ст</w:t>
      </w:r>
    </w:p>
    <w:p>
      <w:pPr>
        <w:pStyle w:val="0"/>
        <w:ind w:firstLine="540"/>
        <w:jc w:val="both"/>
      </w:pPr>
      <w:r>
        <w:rPr>
          <w:sz w:val="24"/>
        </w:rPr>
      </w:r>
    </w:p>
    <w:p>
      <w:pPr>
        <w:pStyle w:val="2"/>
        <w:jc w:val="center"/>
      </w:pPr>
      <w:r>
        <w:rPr>
          <w:sz w:val="24"/>
        </w:rPr>
        <w:t xml:space="preserve">МЕЖГОСУДАРСТВЕННЫЙ СТАНДАРТ</w:t>
      </w:r>
    </w:p>
    <w:p>
      <w:pPr>
        <w:pStyle w:val="2"/>
        <w:jc w:val="center"/>
      </w:pPr>
      <w:r>
        <w:rPr>
          <w:sz w:val="24"/>
        </w:rPr>
      </w:r>
    </w:p>
    <w:p>
      <w:pPr>
        <w:pStyle w:val="2"/>
        <w:jc w:val="center"/>
      </w:pPr>
      <w:r>
        <w:rPr>
          <w:sz w:val="24"/>
        </w:rPr>
        <w:t xml:space="preserve">ТЕХНИЧЕСКИЕ СРЕДСТВА ОПОВЕЩЕНИЯ</w:t>
      </w:r>
    </w:p>
    <w:p>
      <w:pPr>
        <w:pStyle w:val="2"/>
        <w:jc w:val="center"/>
      </w:pPr>
      <w:r>
        <w:rPr>
          <w:sz w:val="24"/>
        </w:rPr>
        <w:t xml:space="preserve">И УПРАВЛЕНИЯ ЭВАКУАЦИЕЙ ПОЖАРНЫЕ</w:t>
      </w:r>
    </w:p>
    <w:p>
      <w:pPr>
        <w:pStyle w:val="2"/>
        <w:jc w:val="center"/>
      </w:pPr>
      <w:r>
        <w:rPr>
          <w:sz w:val="24"/>
        </w:rPr>
      </w:r>
    </w:p>
    <w:p>
      <w:pPr>
        <w:pStyle w:val="2"/>
        <w:jc w:val="center"/>
      </w:pPr>
      <w:r>
        <w:rPr>
          <w:sz w:val="24"/>
        </w:rPr>
        <w:t xml:space="preserve">ОБЩИЕ ТЕХНИЧЕСКИЕ ТРЕБОВАНИЯ.</w:t>
      </w:r>
    </w:p>
    <w:p>
      <w:pPr>
        <w:pStyle w:val="2"/>
        <w:jc w:val="center"/>
      </w:pPr>
      <w:r>
        <w:rPr>
          <w:sz w:val="24"/>
        </w:rPr>
        <w:t xml:space="preserve">МЕТОДЫ ИСПЫТАНИЙ</w:t>
      </w:r>
    </w:p>
    <w:p>
      <w:pPr>
        <w:pStyle w:val="2"/>
        <w:jc w:val="center"/>
      </w:pPr>
      <w:r>
        <w:rPr>
          <w:sz w:val="24"/>
        </w:rPr>
      </w:r>
    </w:p>
    <w:p>
      <w:pPr>
        <w:pStyle w:val="2"/>
        <w:jc w:val="center"/>
      </w:pPr>
      <w:r>
        <w:rPr>
          <w:sz w:val="24"/>
        </w:rPr>
        <w:t xml:space="preserve">Technical means of notification</w:t>
      </w:r>
    </w:p>
    <w:p>
      <w:pPr>
        <w:pStyle w:val="2"/>
        <w:jc w:val="center"/>
      </w:pPr>
      <w:r>
        <w:rPr>
          <w:sz w:val="24"/>
        </w:rPr>
        <w:t xml:space="preserve">about fire alarm and control of evacuation.</w:t>
      </w:r>
    </w:p>
    <w:p>
      <w:pPr>
        <w:pStyle w:val="2"/>
        <w:jc w:val="center"/>
      </w:pPr>
      <w:r>
        <w:rPr>
          <w:sz w:val="24"/>
        </w:rPr>
        <w:t xml:space="preserve">General technical requirements. Test methods</w:t>
      </w:r>
    </w:p>
    <w:p>
      <w:pPr>
        <w:pStyle w:val="2"/>
        <w:jc w:val="center"/>
      </w:pPr>
      <w:r>
        <w:rPr>
          <w:sz w:val="24"/>
        </w:rPr>
      </w:r>
    </w:p>
    <w:p>
      <w:pPr>
        <w:pStyle w:val="2"/>
        <w:jc w:val="center"/>
      </w:pPr>
      <w:r>
        <w:rPr>
          <w:sz w:val="24"/>
        </w:rPr>
        <w:t xml:space="preserve">ГОСТ 34699-2020</w:t>
      </w:r>
    </w:p>
    <w:p>
      <w:pPr>
        <w:pStyle w:val="0"/>
        <w:ind w:firstLine="540"/>
        <w:jc w:val="both"/>
      </w:pPr>
      <w:r>
        <w:rPr>
          <w:sz w:val="24"/>
        </w:rPr>
      </w:r>
    </w:p>
    <w:p>
      <w:pPr>
        <w:pStyle w:val="0"/>
        <w:jc w:val="right"/>
      </w:pPr>
      <w:r>
        <w:rPr>
          <w:sz w:val="24"/>
        </w:rPr>
        <w:t xml:space="preserve">МКС </w:t>
      </w:r>
      <w:hyperlink w:history="0" r:id="rId9" w:tooltip="&quot;МК (ИСО/ИНФКО МКС) 001-96. Межгосударственный классификатор стандартов&quot; (принят Межгосударственным Советом по стандартизации, метрологии и сертификации, протокол от 11 - 12.04.1996 N 9-96) (ред. от 07.06.2013) {КонсультантПлюс}">
        <w:r>
          <w:rPr>
            <w:sz w:val="24"/>
            <w:color w:val="0000ff"/>
          </w:rPr>
          <w:t xml:space="preserve">13.220.20</w:t>
        </w:r>
      </w:hyperlink>
    </w:p>
    <w:p>
      <w:pPr>
        <w:pStyle w:val="0"/>
        <w:ind w:firstLine="540"/>
        <w:jc w:val="both"/>
      </w:pPr>
      <w:r>
        <w:rPr>
          <w:sz w:val="24"/>
        </w:rPr>
      </w:r>
    </w:p>
    <w:p>
      <w:pPr>
        <w:pStyle w:val="0"/>
        <w:jc w:val="right"/>
      </w:pPr>
      <w:r>
        <w:rPr>
          <w:sz w:val="24"/>
          <w:b w:val="on"/>
        </w:rPr>
        <w:t xml:space="preserve">Дата введения</w:t>
      </w:r>
    </w:p>
    <w:p>
      <w:pPr>
        <w:pStyle w:val="0"/>
        <w:jc w:val="right"/>
      </w:pPr>
      <w:r>
        <w:rPr>
          <w:sz w:val="24"/>
          <w:b w:val="on"/>
        </w:rPr>
        <w:t xml:space="preserve">1 июля 2023 года</w:t>
      </w:r>
    </w:p>
    <w:p>
      <w:pPr>
        <w:pStyle w:val="0"/>
        <w:ind w:firstLine="540"/>
        <w:jc w:val="both"/>
      </w:pPr>
      <w:r>
        <w:rPr>
          <w:sz w:val="24"/>
        </w:rPr>
      </w:r>
    </w:p>
    <w:p>
      <w:pPr>
        <w:pStyle w:val="2"/>
        <w:outlineLvl w:val="1"/>
        <w:jc w:val="center"/>
      </w:pPr>
      <w:r>
        <w:rPr>
          <w:sz w:val="24"/>
          <w:b w:val="on"/>
        </w:rPr>
        <w:t xml:space="preserve">Предисловие</w:t>
      </w:r>
    </w:p>
    <w:p>
      <w:pPr>
        <w:pStyle w:val="0"/>
        <w:ind w:firstLine="540"/>
        <w:jc w:val="both"/>
      </w:pPr>
      <w:r>
        <w:rPr>
          <w:sz w:val="24"/>
        </w:rPr>
      </w:r>
    </w:p>
    <w:p>
      <w:pPr>
        <w:pStyle w:val="0"/>
        <w:ind w:firstLine="540"/>
        <w:jc w:val="both"/>
      </w:pPr>
      <w:r>
        <w:rPr>
          <w:sz w:val="24"/>
        </w:rPr>
        <w:t xml:space="preserve">Цели, основные принципы и общие правила проведения работ по межгосударственной стандартизации установлены </w:t>
      </w:r>
      <w:hyperlink w:history="0" r:id="rId10" w:tooltip="&quot;ГОСТ 1.0-2015. Межгосударственный стандарт. Межгосударственная система стандартизации. Основные положения&quot; (введен в действие Приказом Росстандарта от 11.12.2015 N 2156-ст) {КонсультантПлюс}">
        <w:r>
          <w:rPr>
            <w:sz w:val="24"/>
            <w:color w:val="0000ff"/>
          </w:rPr>
          <w:t xml:space="preserve">ГОСТ 1.0</w:t>
        </w:r>
      </w:hyperlink>
      <w:r>
        <w:rPr>
          <w:sz w:val="24"/>
        </w:rPr>
        <w:t xml:space="preserve"> "Межгосударственная система стандартизации. Основные положения" и </w:t>
      </w:r>
      <w:hyperlink w:history="0" r:id="rId11" w:tooltip="&quot;ГОСТ 1.2-2015. Межгосударственный стандарт.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quot; (введен в действие Приказом Росстандарта от 11.12.2015 N 2157-ст) (ред. от 10.01.2024) {КонсультантПлюс}">
        <w:r>
          <w:rPr>
            <w:sz w:val="24"/>
            <w:color w:val="0000ff"/>
          </w:rPr>
          <w:t xml:space="preserve">ГОСТ 1.2</w:t>
        </w:r>
      </w:hyperlink>
      <w:r>
        <w:rPr>
          <w:sz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pPr>
        <w:pStyle w:val="0"/>
        <w:ind w:firstLine="540"/>
        <w:jc w:val="both"/>
      </w:pPr>
      <w:r>
        <w:rPr>
          <w:sz w:val="24"/>
        </w:rPr>
      </w:r>
    </w:p>
    <w:p>
      <w:pPr>
        <w:pStyle w:val="2"/>
        <w:outlineLvl w:val="1"/>
        <w:ind w:firstLine="540"/>
        <w:jc w:val="both"/>
      </w:pPr>
      <w:r>
        <w:rPr>
          <w:sz w:val="24"/>
          <w:b w:val="on"/>
        </w:rPr>
        <w:t xml:space="preserve">Сведения о стандарте</w:t>
      </w:r>
    </w:p>
    <w:p>
      <w:pPr>
        <w:pStyle w:val="0"/>
        <w:ind w:firstLine="540"/>
        <w:jc w:val="both"/>
      </w:pPr>
      <w:r>
        <w:rPr>
          <w:sz w:val="24"/>
        </w:rPr>
      </w:r>
    </w:p>
    <w:p>
      <w:pPr>
        <w:pStyle w:val="0"/>
        <w:ind w:firstLine="540"/>
        <w:jc w:val="both"/>
      </w:pPr>
      <w:r>
        <w:rPr>
          <w:sz w:val="24"/>
        </w:rPr>
        <w:t xml:space="preserve">1 РАЗРАБОТАН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(ФГБУ ВНИИПО МЧС России)</w:t>
      </w:r>
    </w:p>
    <w:p>
      <w:pPr>
        <w:pStyle w:val="0"/>
        <w:spacing w:before="240" w:lineRule="auto"/>
        <w:ind w:firstLine="540"/>
        <w:jc w:val="both"/>
      </w:pPr>
      <w:r>
        <w:rPr>
          <w:sz w:val="24"/>
        </w:rPr>
        <w:t xml:space="preserve">2 ВНЕСЕН Межгосударственным техническим комитетом по стандартизации МТК 274 "Пожарная безопасность"</w:t>
      </w:r>
    </w:p>
    <w:p>
      <w:pPr>
        <w:pStyle w:val="0"/>
        <w:spacing w:before="240" w:lineRule="auto"/>
        <w:ind w:firstLine="540"/>
        <w:jc w:val="both"/>
      </w:pPr>
      <w:r>
        <w:rPr>
          <w:sz w:val="24"/>
        </w:rPr>
        <w:t xml:space="preserve">3 ПРИНЯТ Межгосударственным советом по стандартизации, метрологии и сертификации (протокол от 30 ноября 2020 г. N 135-П)</w:t>
      </w:r>
    </w:p>
    <w:p>
      <w:pPr>
        <w:pStyle w:val="0"/>
        <w:spacing w:before="240" w:lineRule="auto"/>
        <w:ind w:firstLine="540"/>
        <w:jc w:val="both"/>
      </w:pPr>
      <w:r>
        <w:rPr>
          <w:sz w:val="24"/>
        </w:rPr>
        <w:t xml:space="preserve">За принятие проголосовали: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608"/>
        <w:gridCol w:w="1531"/>
        <w:gridCol w:w="4932"/>
      </w:tblGrid>
      <w:tr>
        <w:tblPrEx>
          <w:tblBorders>
            <w:insideH w:val="single" w:sz="4"/>
          </w:tblBorders>
        </w:tblPrEx>
        <w:tc>
          <w:tcPr>
            <w:tcW w:w="2608" w:type="dxa"/>
            <w:vAlign w:val="center"/>
            <w:tcBorders>
              <w:top w:val="single" w:sz="4"/>
              <w:bottom w:val="single" w:sz="4"/>
            </w:tcBorders>
          </w:tcPr>
          <w:p>
            <w:pPr>
              <w:pStyle w:val="0"/>
              <w:jc w:val="center"/>
            </w:pPr>
            <w:r>
              <w:rPr>
                <w:sz w:val="24"/>
              </w:rPr>
              <w:t xml:space="preserve">Краткое наименование страны по МК (ИСО 3166) 004-97</w:t>
            </w:r>
          </w:p>
        </w:tc>
        <w:tc>
          <w:tcPr>
            <w:tcW w:w="1531" w:type="dxa"/>
            <w:vAlign w:val="center"/>
            <w:tcBorders>
              <w:top w:val="single" w:sz="4"/>
              <w:bottom w:val="single" w:sz="4"/>
            </w:tcBorders>
          </w:tcPr>
          <w:p>
            <w:pPr>
              <w:pStyle w:val="0"/>
              <w:jc w:val="center"/>
            </w:pPr>
            <w:r>
              <w:rPr>
                <w:sz w:val="24"/>
              </w:rPr>
              <w:t xml:space="preserve">Код страны по МК (ИСО 3166) 004-97</w:t>
            </w:r>
          </w:p>
        </w:tc>
        <w:tc>
          <w:tcPr>
            <w:tcW w:w="4932" w:type="dxa"/>
            <w:vAlign w:val="center"/>
            <w:tcBorders>
              <w:top w:val="single" w:sz="4"/>
              <w:bottom w:val="single" w:sz="4"/>
            </w:tcBorders>
          </w:tcPr>
          <w:p>
            <w:pPr>
              <w:pStyle w:val="0"/>
              <w:jc w:val="center"/>
            </w:pPr>
            <w:r>
              <w:rPr>
                <w:sz w:val="24"/>
              </w:rPr>
              <w:t xml:space="preserve">Сокращенное наименование национального органа по стандартизации</w:t>
            </w:r>
          </w:p>
        </w:tc>
      </w:tr>
      <w:tr>
        <w:tc>
          <w:tcPr>
            <w:tcW w:w="2608" w:type="dxa"/>
            <w:tcBorders>
              <w:top w:val="single" w:sz="4"/>
              <w:bottom w:val="nil"/>
            </w:tcBorders>
          </w:tcPr>
          <w:p>
            <w:pPr>
              <w:pStyle w:val="0"/>
            </w:pPr>
            <w:r>
              <w:rPr>
                <w:sz w:val="24"/>
              </w:rPr>
              <w:t xml:space="preserve">Азербайджан</w:t>
            </w:r>
          </w:p>
        </w:tc>
        <w:tc>
          <w:tcPr>
            <w:tcW w:w="1531" w:type="dxa"/>
            <w:tcBorders>
              <w:top w:val="single" w:sz="4"/>
              <w:bottom w:val="nil"/>
            </w:tcBorders>
          </w:tcPr>
          <w:p>
            <w:pPr>
              <w:pStyle w:val="0"/>
              <w:jc w:val="center"/>
            </w:pPr>
            <w:r>
              <w:rPr>
                <w:sz w:val="24"/>
              </w:rPr>
              <w:t xml:space="preserve">AZ</w:t>
            </w:r>
          </w:p>
        </w:tc>
        <w:tc>
          <w:tcPr>
            <w:tcW w:w="4932" w:type="dxa"/>
            <w:tcBorders>
              <w:top w:val="single" w:sz="4"/>
              <w:bottom w:val="nil"/>
            </w:tcBorders>
          </w:tcPr>
          <w:p>
            <w:pPr>
              <w:pStyle w:val="0"/>
            </w:pPr>
            <w:r>
              <w:rPr>
                <w:sz w:val="24"/>
              </w:rPr>
              <w:t xml:space="preserve">Азстандарт</w:t>
            </w:r>
          </w:p>
        </w:tc>
      </w:tr>
      <w:tr>
        <w:tc>
          <w:tcPr>
            <w:tcW w:w="2608" w:type="dxa"/>
            <w:tcBorders>
              <w:top w:val="nil"/>
              <w:bottom w:val="nil"/>
            </w:tcBorders>
          </w:tcPr>
          <w:p>
            <w:pPr>
              <w:pStyle w:val="0"/>
              <w:jc w:val="both"/>
            </w:pPr>
            <w:r>
              <w:rPr>
                <w:sz w:val="24"/>
              </w:rPr>
              <w:t xml:space="preserve">Армения</w:t>
            </w:r>
          </w:p>
        </w:tc>
        <w:tc>
          <w:tcPr>
            <w:tcW w:w="1531" w:type="dxa"/>
            <w:tcBorders>
              <w:top w:val="nil"/>
              <w:bottom w:val="nil"/>
            </w:tcBorders>
          </w:tcPr>
          <w:p>
            <w:pPr>
              <w:pStyle w:val="0"/>
              <w:jc w:val="center"/>
            </w:pPr>
            <w:r>
              <w:rPr>
                <w:sz w:val="24"/>
              </w:rPr>
              <w:t xml:space="preserve">AM</w:t>
            </w:r>
          </w:p>
        </w:tc>
        <w:tc>
          <w:tcPr>
            <w:tcW w:w="4932" w:type="dxa"/>
            <w:tcBorders>
              <w:top w:val="nil"/>
              <w:bottom w:val="nil"/>
            </w:tcBorders>
          </w:tcPr>
          <w:p>
            <w:pPr>
              <w:pStyle w:val="0"/>
            </w:pPr>
            <w:r>
              <w:rPr>
                <w:sz w:val="24"/>
              </w:rPr>
              <w:t xml:space="preserve">ЗАО "Национальный орган по стандартизации и метрологии" Республики Армения</w:t>
            </w:r>
          </w:p>
        </w:tc>
      </w:tr>
      <w:tr>
        <w:tc>
          <w:tcPr>
            <w:tcW w:w="2608" w:type="dxa"/>
            <w:tcBorders>
              <w:top w:val="nil"/>
              <w:bottom w:val="nil"/>
            </w:tcBorders>
          </w:tcPr>
          <w:p>
            <w:pPr>
              <w:pStyle w:val="0"/>
              <w:jc w:val="both"/>
            </w:pPr>
            <w:r>
              <w:rPr>
                <w:sz w:val="24"/>
              </w:rPr>
              <w:t xml:space="preserve">Беларусь</w:t>
            </w:r>
          </w:p>
        </w:tc>
        <w:tc>
          <w:tcPr>
            <w:tcW w:w="1531" w:type="dxa"/>
            <w:tcBorders>
              <w:top w:val="nil"/>
              <w:bottom w:val="nil"/>
            </w:tcBorders>
          </w:tcPr>
          <w:p>
            <w:pPr>
              <w:pStyle w:val="0"/>
              <w:jc w:val="center"/>
            </w:pPr>
            <w:r>
              <w:rPr>
                <w:sz w:val="24"/>
              </w:rPr>
              <w:t xml:space="preserve">BY</w:t>
            </w:r>
          </w:p>
        </w:tc>
        <w:tc>
          <w:tcPr>
            <w:tcW w:w="4932" w:type="dxa"/>
            <w:tcBorders>
              <w:top w:val="nil"/>
              <w:bottom w:val="nil"/>
            </w:tcBorders>
          </w:tcPr>
          <w:p>
            <w:pPr>
              <w:pStyle w:val="0"/>
            </w:pPr>
            <w:r>
              <w:rPr>
                <w:sz w:val="24"/>
              </w:rPr>
              <w:t xml:space="preserve">Госстандарт Республики Беларусь</w:t>
            </w:r>
          </w:p>
        </w:tc>
      </w:tr>
      <w:tr>
        <w:tc>
          <w:tcPr>
            <w:tcW w:w="2608" w:type="dxa"/>
            <w:tcBorders>
              <w:top w:val="nil"/>
              <w:bottom w:val="nil"/>
            </w:tcBorders>
          </w:tcPr>
          <w:p>
            <w:pPr>
              <w:pStyle w:val="0"/>
            </w:pPr>
            <w:r>
              <w:rPr>
                <w:sz w:val="24"/>
              </w:rPr>
              <w:t xml:space="preserve">Казахстан</w:t>
            </w:r>
          </w:p>
        </w:tc>
        <w:tc>
          <w:tcPr>
            <w:tcW w:w="1531" w:type="dxa"/>
            <w:tcBorders>
              <w:top w:val="nil"/>
              <w:bottom w:val="nil"/>
            </w:tcBorders>
          </w:tcPr>
          <w:p>
            <w:pPr>
              <w:pStyle w:val="0"/>
              <w:jc w:val="center"/>
            </w:pPr>
            <w:r>
              <w:rPr>
                <w:sz w:val="24"/>
              </w:rPr>
              <w:t xml:space="preserve">KZ</w:t>
            </w:r>
          </w:p>
        </w:tc>
        <w:tc>
          <w:tcPr>
            <w:tcW w:w="4932" w:type="dxa"/>
            <w:vAlign w:val="center"/>
            <w:tcBorders>
              <w:top w:val="nil"/>
              <w:bottom w:val="nil"/>
            </w:tcBorders>
          </w:tcPr>
          <w:p>
            <w:pPr>
              <w:pStyle w:val="0"/>
            </w:pPr>
            <w:r>
              <w:rPr>
                <w:sz w:val="24"/>
              </w:rPr>
              <w:t xml:space="preserve">Госстандарт Республики Казахстан</w:t>
            </w:r>
          </w:p>
        </w:tc>
      </w:tr>
      <w:tr>
        <w:tc>
          <w:tcPr>
            <w:tcW w:w="2608" w:type="dxa"/>
            <w:tcBorders>
              <w:top w:val="nil"/>
              <w:bottom w:val="nil"/>
            </w:tcBorders>
          </w:tcPr>
          <w:p>
            <w:pPr>
              <w:pStyle w:val="0"/>
              <w:jc w:val="both"/>
            </w:pPr>
            <w:r>
              <w:rPr>
                <w:sz w:val="24"/>
              </w:rPr>
              <w:t xml:space="preserve">Киргизия</w:t>
            </w:r>
          </w:p>
        </w:tc>
        <w:tc>
          <w:tcPr>
            <w:tcW w:w="1531" w:type="dxa"/>
            <w:tcBorders>
              <w:top w:val="nil"/>
              <w:bottom w:val="nil"/>
            </w:tcBorders>
          </w:tcPr>
          <w:p>
            <w:pPr>
              <w:pStyle w:val="0"/>
              <w:jc w:val="center"/>
            </w:pPr>
            <w:r>
              <w:rPr>
                <w:sz w:val="24"/>
              </w:rPr>
              <w:t xml:space="preserve">KG</w:t>
            </w:r>
          </w:p>
        </w:tc>
        <w:tc>
          <w:tcPr>
            <w:tcW w:w="4932" w:type="dxa"/>
            <w:tcBorders>
              <w:top w:val="nil"/>
              <w:bottom w:val="nil"/>
            </w:tcBorders>
          </w:tcPr>
          <w:p>
            <w:pPr>
              <w:pStyle w:val="0"/>
            </w:pPr>
            <w:r>
              <w:rPr>
                <w:sz w:val="24"/>
              </w:rPr>
              <w:t xml:space="preserve">Кыргызстандарт</w:t>
            </w:r>
          </w:p>
        </w:tc>
      </w:tr>
      <w:tr>
        <w:tc>
          <w:tcPr>
            <w:tcW w:w="2608" w:type="dxa"/>
            <w:tcBorders>
              <w:top w:val="nil"/>
              <w:bottom w:val="nil"/>
            </w:tcBorders>
          </w:tcPr>
          <w:p>
            <w:pPr>
              <w:pStyle w:val="0"/>
              <w:jc w:val="both"/>
            </w:pPr>
            <w:r>
              <w:rPr>
                <w:sz w:val="24"/>
              </w:rPr>
              <w:t xml:space="preserve">Россия</w:t>
            </w:r>
          </w:p>
        </w:tc>
        <w:tc>
          <w:tcPr>
            <w:tcW w:w="1531" w:type="dxa"/>
            <w:tcBorders>
              <w:top w:val="nil"/>
              <w:bottom w:val="nil"/>
            </w:tcBorders>
          </w:tcPr>
          <w:p>
            <w:pPr>
              <w:pStyle w:val="0"/>
              <w:jc w:val="center"/>
            </w:pPr>
            <w:r>
              <w:rPr>
                <w:sz w:val="24"/>
              </w:rPr>
              <w:t xml:space="preserve">RU</w:t>
            </w:r>
          </w:p>
        </w:tc>
        <w:tc>
          <w:tcPr>
            <w:tcW w:w="4932" w:type="dxa"/>
            <w:tcBorders>
              <w:top w:val="nil"/>
              <w:bottom w:val="nil"/>
            </w:tcBorders>
          </w:tcPr>
          <w:p>
            <w:pPr>
              <w:pStyle w:val="0"/>
            </w:pPr>
            <w:r>
              <w:rPr>
                <w:sz w:val="24"/>
              </w:rPr>
              <w:t xml:space="preserve">Росстандарт</w:t>
            </w:r>
          </w:p>
        </w:tc>
      </w:tr>
      <w:tr>
        <w:tc>
          <w:tcPr>
            <w:tcW w:w="2608" w:type="dxa"/>
            <w:tcBorders>
              <w:top w:val="nil"/>
              <w:bottom w:val="nil"/>
            </w:tcBorders>
          </w:tcPr>
          <w:p>
            <w:pPr>
              <w:pStyle w:val="0"/>
              <w:jc w:val="both"/>
            </w:pPr>
            <w:r>
              <w:rPr>
                <w:sz w:val="24"/>
              </w:rPr>
              <w:t xml:space="preserve">Таджикистан</w:t>
            </w:r>
          </w:p>
        </w:tc>
        <w:tc>
          <w:tcPr>
            <w:tcW w:w="1531" w:type="dxa"/>
            <w:tcBorders>
              <w:top w:val="nil"/>
              <w:bottom w:val="nil"/>
            </w:tcBorders>
          </w:tcPr>
          <w:p>
            <w:pPr>
              <w:pStyle w:val="0"/>
              <w:jc w:val="center"/>
            </w:pPr>
            <w:r>
              <w:rPr>
                <w:sz w:val="24"/>
              </w:rPr>
              <w:t xml:space="preserve">TJ</w:t>
            </w:r>
          </w:p>
        </w:tc>
        <w:tc>
          <w:tcPr>
            <w:tcW w:w="4932" w:type="dxa"/>
            <w:tcBorders>
              <w:top w:val="nil"/>
              <w:bottom w:val="nil"/>
            </w:tcBorders>
          </w:tcPr>
          <w:p>
            <w:pPr>
              <w:pStyle w:val="0"/>
            </w:pPr>
            <w:r>
              <w:rPr>
                <w:sz w:val="24"/>
              </w:rPr>
              <w:t xml:space="preserve">Таджикстандарт</w:t>
            </w:r>
          </w:p>
        </w:tc>
      </w:tr>
      <w:tr>
        <w:tc>
          <w:tcPr>
            <w:tcW w:w="2608" w:type="dxa"/>
            <w:tcBorders>
              <w:top w:val="nil"/>
              <w:bottom w:val="single" w:sz="4"/>
            </w:tcBorders>
          </w:tcPr>
          <w:p>
            <w:pPr>
              <w:pStyle w:val="0"/>
              <w:jc w:val="both"/>
            </w:pPr>
            <w:r>
              <w:rPr>
                <w:sz w:val="24"/>
              </w:rPr>
              <w:t xml:space="preserve">Узбекистан</w:t>
            </w:r>
          </w:p>
        </w:tc>
        <w:tc>
          <w:tcPr>
            <w:tcW w:w="1531" w:type="dxa"/>
            <w:tcBorders>
              <w:top w:val="nil"/>
              <w:bottom w:val="single" w:sz="4"/>
            </w:tcBorders>
          </w:tcPr>
          <w:p>
            <w:pPr>
              <w:pStyle w:val="0"/>
              <w:jc w:val="center"/>
            </w:pPr>
            <w:r>
              <w:rPr>
                <w:sz w:val="24"/>
              </w:rPr>
              <w:t xml:space="preserve">UZ</w:t>
            </w:r>
          </w:p>
        </w:tc>
        <w:tc>
          <w:tcPr>
            <w:tcW w:w="4932" w:type="dxa"/>
            <w:tcBorders>
              <w:top w:val="nil"/>
              <w:bottom w:val="single" w:sz="4"/>
            </w:tcBorders>
          </w:tcPr>
          <w:p>
            <w:pPr>
              <w:pStyle w:val="0"/>
            </w:pPr>
            <w:r>
              <w:rPr>
                <w:sz w:val="24"/>
              </w:rPr>
              <w:t xml:space="preserve">Узстандарт</w:t>
            </w:r>
          </w:p>
        </w:tc>
      </w:tr>
    </w:tbl>
    <w:p>
      <w:pPr>
        <w:pStyle w:val="0"/>
        <w:ind w:firstLine="540"/>
        <w:jc w:val="both"/>
      </w:pPr>
      <w:r>
        <w:rPr>
          <w:sz w:val="24"/>
        </w:rPr>
      </w:r>
    </w:p>
    <w:p>
      <w:pPr>
        <w:pStyle w:val="0"/>
        <w:ind w:firstLine="540"/>
        <w:jc w:val="both"/>
      </w:pPr>
      <w:r>
        <w:rPr>
          <w:sz w:val="24"/>
        </w:rPr>
        <w:t xml:space="preserve">4 </w:t>
      </w:r>
      <w:hyperlink w:history="0" r:id="rId12" w:tooltip="Приказ Росстандарта от 29.06.2021 N 599-ст (ред. от 21.06.2022) &quot;О введении в действие межгосударственного стандарта&quot; {КонсультантПлюс}">
        <w:r>
          <w:rPr>
            <w:sz w:val="24"/>
            <w:color w:val="0000ff"/>
          </w:rPr>
          <w:t xml:space="preserve">Приказом</w:t>
        </w:r>
      </w:hyperlink>
      <w:r>
        <w:rPr>
          <w:sz w:val="24"/>
        </w:rPr>
        <w:t xml:space="preserve"> Федерального агентства по техническому регулированию и метрологии от 29 июня 2021 г. N 599-ст межгосударственный стандарт ГОСТ 34699-2020 введен в действие в качестве национального стандарта Российской Федерации с 1 июля 2023 г.</w:t>
      </w:r>
    </w:p>
    <w:p>
      <w:pPr>
        <w:pStyle w:val="0"/>
        <w:spacing w:before="240" w:lineRule="auto"/>
        <w:ind w:firstLine="540"/>
        <w:jc w:val="both"/>
      </w:pPr>
      <w:r>
        <w:rPr>
          <w:sz w:val="24"/>
        </w:rPr>
        <w:t xml:space="preserve">5 ВВЕДЕН ВПЕРВЫЕ</w:t>
      </w:r>
    </w:p>
    <w:p>
      <w:pPr>
        <w:pStyle w:val="0"/>
        <w:ind w:firstLine="540"/>
        <w:jc w:val="both"/>
      </w:pPr>
      <w:r>
        <w:rPr>
          <w:sz w:val="24"/>
        </w:rPr>
      </w:r>
    </w:p>
    <w:p>
      <w:pPr>
        <w:pStyle w:val="0"/>
        <w:ind w:firstLine="540"/>
        <w:jc w:val="both"/>
      </w:pPr>
      <w:r>
        <w:rPr>
          <w:sz w:val="24"/>
          <w:i w:val="on"/>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pPr>
        <w:pStyle w:val="0"/>
        <w:spacing w:before="240" w:lineRule="auto"/>
        <w:ind w:firstLine="540"/>
        <w:jc w:val="both"/>
      </w:pPr>
      <w:r>
        <w:rPr>
          <w:sz w:val="24"/>
          <w:i w:val="on"/>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Международного совета по стандартизации, метрологии и сертификации в каталоге "Межгосударственные стандарты"</w:t>
      </w:r>
    </w:p>
    <w:p>
      <w:pPr>
        <w:pStyle w:val="0"/>
        <w:ind w:firstLine="540"/>
        <w:jc w:val="both"/>
      </w:pPr>
      <w:r>
        <w:rPr>
          <w:sz w:val="24"/>
        </w:rPr>
      </w:r>
    </w:p>
    <w:p>
      <w:pPr>
        <w:pStyle w:val="2"/>
        <w:outlineLvl w:val="1"/>
        <w:ind w:firstLine="540"/>
        <w:jc w:val="both"/>
      </w:pPr>
      <w:r>
        <w:rPr>
          <w:sz w:val="24"/>
          <w:b w:val="on"/>
        </w:rPr>
        <w:t xml:space="preserve">1 Область применения</w:t>
      </w:r>
    </w:p>
    <w:p>
      <w:pPr>
        <w:pStyle w:val="0"/>
        <w:ind w:firstLine="540"/>
        <w:jc w:val="both"/>
      </w:pPr>
      <w:r>
        <w:rPr>
          <w:sz w:val="24"/>
        </w:rPr>
      </w:r>
    </w:p>
    <w:p>
      <w:pPr>
        <w:pStyle w:val="0"/>
        <w:ind w:firstLine="540"/>
        <w:jc w:val="both"/>
      </w:pPr>
      <w:r>
        <w:rPr>
          <w:sz w:val="24"/>
        </w:rPr>
        <w:t xml:space="preserve">1.1 Настоящий стандарт устанавливает общие требования к техническим средствам оповещения и управления эвакуацией при пожаре и методы их испытаний.</w:t>
      </w:r>
    </w:p>
    <w:p>
      <w:pPr>
        <w:pStyle w:val="0"/>
        <w:spacing w:before="240" w:lineRule="auto"/>
        <w:ind w:firstLine="540"/>
        <w:jc w:val="both"/>
      </w:pPr>
      <w:r>
        <w:rPr>
          <w:sz w:val="24"/>
        </w:rPr>
        <w:t xml:space="preserve">1.2 Настоящий стандарт распространяется на технические средства оповещения и управления эвакуацией пожарные - пожарные оповещатели, применяемые на территории Евразийского экономического союза, в том числе на объектах с возможным пребыванием маломобильных групп населения.</w:t>
      </w:r>
    </w:p>
    <w:p>
      <w:pPr>
        <w:pStyle w:val="0"/>
        <w:spacing w:before="240" w:lineRule="auto"/>
        <w:ind w:firstLine="540"/>
        <w:jc w:val="both"/>
      </w:pPr>
      <w:r>
        <w:rPr>
          <w:sz w:val="24"/>
        </w:rPr>
        <w:t xml:space="preserve">1.3 Положения настоящего стандарта применяются при разработке и постановке продукции на производство, производстве и модернизации продукции.</w:t>
      </w:r>
    </w:p>
    <w:p>
      <w:pPr>
        <w:pStyle w:val="0"/>
        <w:ind w:firstLine="540"/>
        <w:jc w:val="both"/>
      </w:pPr>
      <w:r>
        <w:rPr>
          <w:sz w:val="24"/>
        </w:rPr>
      </w:r>
    </w:p>
    <w:p>
      <w:pPr>
        <w:pStyle w:val="2"/>
        <w:outlineLvl w:val="1"/>
        <w:ind w:firstLine="540"/>
        <w:jc w:val="both"/>
      </w:pPr>
      <w:r>
        <w:rPr>
          <w:sz w:val="24"/>
          <w:b w:val="on"/>
        </w:rPr>
        <w:t xml:space="preserve">2 Нормативные ссылки</w:t>
      </w:r>
    </w:p>
    <w:p>
      <w:pPr>
        <w:pStyle w:val="0"/>
        <w:ind w:firstLine="540"/>
        <w:jc w:val="both"/>
      </w:pPr>
      <w:r>
        <w:rPr>
          <w:sz w:val="24"/>
        </w:rPr>
      </w:r>
    </w:p>
    <w:p>
      <w:pPr>
        <w:pStyle w:val="0"/>
        <w:ind w:firstLine="540"/>
        <w:jc w:val="both"/>
      </w:pPr>
      <w:r>
        <w:rPr>
          <w:sz w:val="24"/>
        </w:rPr>
        <w:t xml:space="preserve">В настоящем стандарте использованы нормативные ссылки на следующие межгосударственные стандарты:</w:t>
      </w:r>
    </w:p>
    <w:p>
      <w:pPr>
        <w:pStyle w:val="0"/>
        <w:spacing w:before="240" w:lineRule="auto"/>
        <w:ind w:firstLine="540"/>
        <w:jc w:val="both"/>
      </w:pPr>
      <w:hyperlink w:history="0" r:id="rId13" w:tooltip="&quot;ГОСТ 12.1.004-91. Межгосударственный стандарт. Система стандартов безопасности труда. Пожарная безопасность. Общие требования&quot; (утв. Постановлением Госстандарта СССР от 14.06.1991 N 875) (ред. от 01.10.1993) {КонсультантПлюс}">
        <w:r>
          <w:rPr>
            <w:sz w:val="24"/>
            <w:color w:val="0000ff"/>
          </w:rPr>
          <w:t xml:space="preserve">ГОСТ 12.1.004</w:t>
        </w:r>
      </w:hyperlink>
      <w:r>
        <w:rPr>
          <w:sz w:val="24"/>
        </w:rPr>
        <w:t xml:space="preserve"> Система стандартов безопасности труда. Пожарная безопасность. Общие требования</w:t>
      </w:r>
    </w:p>
    <w:p>
      <w:pPr>
        <w:pStyle w:val="0"/>
        <w:spacing w:before="240" w:lineRule="auto"/>
        <w:ind w:firstLine="540"/>
        <w:jc w:val="both"/>
      </w:pPr>
      <w:hyperlink w:history="0" r:id="rId14" w:tooltip="&quot;ГОСТ 12.2.007.0-75. Межгосударственный стандарт. Система стандартов безопасности труда. Изделия электротехнические. Общие требования безопасности&quot; (введен в действие Постановлением Госстандарта СССР от 10.09.1975 N 2368) (ред. от 01.06.1988) {КонсультантПлюс}">
        <w:r>
          <w:rPr>
            <w:sz w:val="24"/>
            <w:color w:val="0000ff"/>
          </w:rPr>
          <w:t xml:space="preserve">ГОСТ 12.2.007.0</w:t>
        </w:r>
      </w:hyperlink>
      <w:r>
        <w:rPr>
          <w:sz w:val="24"/>
        </w:rPr>
        <w:t xml:space="preserve"> Система стандартов безопасности труда. Изделия электротехнические. Общие требования безопасности</w:t>
      </w:r>
    </w:p>
    <w:p>
      <w:pPr>
        <w:pStyle w:val="0"/>
        <w:spacing w:before="240" w:lineRule="auto"/>
        <w:ind w:firstLine="540"/>
        <w:jc w:val="both"/>
      </w:pPr>
      <w:hyperlink w:history="0" r:id="rId15" w:tooltip="&quo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quot; (введен в действие Приказом Росстандарта от 10.06.2016 N 614-ст) (ред. от 29.11.2018) {КонсультантПлюс}">
        <w:r>
          <w:rPr>
            <w:sz w:val="24"/>
            <w:color w:val="0000ff"/>
          </w:rPr>
          <w:t xml:space="preserve">ГОСТ 12.4.026</w:t>
        </w:r>
      </w:hyperlink>
      <w:r>
        <w:rPr>
          <w:sz w:val="24"/>
        </w:rPr>
        <w:t xml:space="preserve">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pPr>
        <w:pStyle w:val="0"/>
        <w:spacing w:before="240" w:lineRule="auto"/>
        <w:ind w:firstLine="540"/>
        <w:jc w:val="both"/>
      </w:pPr>
      <w:hyperlink w:history="0" r:id="rId16" w:tooltip="&quot;ГОСТ 4784-2019. Межгосударственный стандарт. Алюминий и сплавы алюминиевые деформируемые. Марки&quot; (введен в действие Приказом Росстандарта от 31.07.2019 N 435-ст) (ред. от 23.06.2025) {КонсультантПлюс}">
        <w:r>
          <w:rPr>
            <w:sz w:val="24"/>
            <w:color w:val="0000ff"/>
          </w:rPr>
          <w:t xml:space="preserve">ГОСТ 4784</w:t>
        </w:r>
      </w:hyperlink>
      <w:r>
        <w:rPr>
          <w:sz w:val="24"/>
        </w:rPr>
        <w:t xml:space="preserve"> Алюминий и сплавы алюминиевые деформируемые. Марки</w:t>
      </w:r>
    </w:p>
    <w:p>
      <w:pPr>
        <w:pStyle w:val="0"/>
        <w:spacing w:before="240" w:lineRule="auto"/>
        <w:ind w:firstLine="540"/>
        <w:jc w:val="both"/>
      </w:pPr>
      <w:hyperlink w:history="0" r:id="rId17" w:tooltip="&quot;ГОСТ 14254-2015 (IEC 60529:2013). Межгосударственный стандарт. Степени защиты, обеспечиваемые оболочками (Код IP)&quot; (введен в действие Приказом Росстандарта от 10.06.2016 N 604-ст) {КонсультантПлюс}">
        <w:r>
          <w:rPr>
            <w:sz w:val="24"/>
            <w:color w:val="0000ff"/>
          </w:rPr>
          <w:t xml:space="preserve">ГОСТ 14254</w:t>
        </w:r>
      </w:hyperlink>
      <w:r>
        <w:rPr>
          <w:sz w:val="24"/>
        </w:rPr>
        <w:t xml:space="preserve"> (IEC 60529:2013) Степени защиты, обеспечиваемые оболочками (Код IP)</w:t>
      </w:r>
    </w:p>
    <w:p>
      <w:pPr>
        <w:pStyle w:val="0"/>
        <w:spacing w:before="240" w:lineRule="auto"/>
        <w:ind w:firstLine="540"/>
        <w:jc w:val="both"/>
      </w:pPr>
      <w:hyperlink w:history="0" r:id="rId18" w:tooltip="&quot;ГОСТ 28199-89 (МЭК 68-2-1-74). Межгосударственный стандарт. Основные методы испытаний на воздействие внешних факторов. Часть 2. Испытания. Испытание А: Холод&quot; (введен в действие Постановлением Госстандарта СССР от 15.08.1989 N 2553) (ред. от 01.08.1998) {КонсультантПлюс}">
        <w:r>
          <w:rPr>
            <w:sz w:val="24"/>
            <w:color w:val="0000ff"/>
          </w:rPr>
          <w:t xml:space="preserve">ГОСТ 28199</w:t>
        </w:r>
      </w:hyperlink>
      <w:r>
        <w:rPr>
          <w:sz w:val="24"/>
        </w:rPr>
        <w:t xml:space="preserve"> (МЭК 68-2-1-74) Основные методы испытаний на воздействие внешних факторов. Часть 2. Испытания. Испытание A: Холод</w:t>
      </w:r>
    </w:p>
    <w:p>
      <w:pPr>
        <w:pStyle w:val="0"/>
        <w:spacing w:before="240" w:lineRule="auto"/>
        <w:ind w:firstLine="540"/>
        <w:jc w:val="both"/>
      </w:pPr>
      <w:hyperlink w:history="0" r:id="rId19" w:tooltip="&quot;ГОСТ 28200-89 (МЭК 68-2-2-74). Межгосударственный стандарт. Основные методы испытаний на воздействие внешних факторов. Часть 2. Испытания. Испытание B: Сухое тепло&quot; (введен в действие Постановлением Госстандарта СССР от 15.08.1989 N 2553) (ред. от 01.11.1997) {КонсультантПлюс}">
        <w:r>
          <w:rPr>
            <w:sz w:val="24"/>
            <w:color w:val="0000ff"/>
          </w:rPr>
          <w:t xml:space="preserve">ГОСТ 28200</w:t>
        </w:r>
      </w:hyperlink>
      <w:r>
        <w:rPr>
          <w:sz w:val="24"/>
        </w:rPr>
        <w:t xml:space="preserve"> (МЭК 68-2-2-74) Основные методы испытаний на воздействие внешних факторов. Часть 2. Испытания. Испытание B: Сухое тепло</w:t>
      </w:r>
    </w:p>
    <w:p>
      <w:pPr>
        <w:pStyle w:val="0"/>
        <w:spacing w:before="240" w:lineRule="auto"/>
        <w:ind w:firstLine="540"/>
        <w:jc w:val="both"/>
      </w:pPr>
      <w:hyperlink w:history="0" r:id="rId20" w:tooltip="&quot;ГОСТ 28201-89 (МЭК 68-2-3-69). Межгосударственный стандарт. Основные методы испытаний на воздействие внешних факторов. Часть 2. Испытания. Испытание Ca: влажное тепло, постоянный режим&quot; (введен в действие Постановлением Госстандарта СССР от 15.08.1989 N 2554) {КонсультантПлюс}">
        <w:r>
          <w:rPr>
            <w:sz w:val="24"/>
            <w:color w:val="0000ff"/>
          </w:rPr>
          <w:t xml:space="preserve">ГОСТ 28201</w:t>
        </w:r>
      </w:hyperlink>
      <w:r>
        <w:rPr>
          <w:sz w:val="24"/>
        </w:rPr>
        <w:t xml:space="preserve"> (МЭК 68-2-3-69) Основные методы испытаний на воздействие внешних факторов. Часть 2. Испытания. Испытание Ca: Влажное тепло, постоянный режим</w:t>
      </w:r>
    </w:p>
    <w:p>
      <w:pPr>
        <w:pStyle w:val="0"/>
        <w:spacing w:before="240" w:lineRule="auto"/>
        <w:ind w:firstLine="540"/>
        <w:jc w:val="both"/>
      </w:pPr>
      <w:hyperlink w:history="0" r:id="rId21" w:tooltip="&quot;ГОСТ 28203-89 (МЭК 68-2-6-82). Межгосударственный стандарт. Основные методы испытаний на воздействие внешних факторов. Часть 2. Испытания. Испытание Fc и руководство: Вибрация (синусоидальная)&quot; (введен в действие Постановлением Госстандарта СССР от 15.08.1989 N 2554) {КонсультантПлюс}">
        <w:r>
          <w:rPr>
            <w:sz w:val="24"/>
            <w:color w:val="0000ff"/>
          </w:rPr>
          <w:t xml:space="preserve">ГОСТ 28203</w:t>
        </w:r>
      </w:hyperlink>
      <w:r>
        <w:rPr>
          <w:sz w:val="24"/>
        </w:rPr>
        <w:t xml:space="preserve"> (МЭК 68-2-6-82) Основные методы испытаний на воздействие внешних факторов. Часть 2. Испытания. Испытание Fc и руководство: Вибрация (синусоидальная)</w:t>
      </w:r>
    </w:p>
    <w:p>
      <w:pPr>
        <w:pStyle w:val="0"/>
        <w:spacing w:before="240" w:lineRule="auto"/>
        <w:ind w:firstLine="540"/>
        <w:jc w:val="both"/>
      </w:pPr>
      <w:hyperlink w:history="0" r:id="rId22" w:tooltip="&quot;ГОСТ 28215-89 (МЭК 68-2-29-87). Межгосударственный стандарт. Основные методы испытаний на воздействие внешних факторов. Часть 2. Испытания. Испытание Eb и руководство: многократные удары&quot; (введен в действие Постановлением Госстандарта СССР от 15.08.1989 N 2558) {КонсультантПлюс}">
        <w:r>
          <w:rPr>
            <w:sz w:val="24"/>
            <w:color w:val="0000ff"/>
          </w:rPr>
          <w:t xml:space="preserve">ГОСТ 28215</w:t>
        </w:r>
      </w:hyperlink>
      <w:r>
        <w:rPr>
          <w:sz w:val="24"/>
        </w:rPr>
        <w:t xml:space="preserve"> (МЭК 68-2-29-87) Основные методы испытаний на воздействие внешних факторов. Часть 2. Испытания. Испытание Eb и руководство: многократные удары</w:t>
      </w:r>
    </w:p>
    <w:p>
      <w:pPr>
        <w:pStyle w:val="0"/>
        <w:spacing w:before="240" w:lineRule="auto"/>
        <w:ind w:firstLine="540"/>
        <w:jc w:val="both"/>
      </w:pPr>
      <w:hyperlink w:history="0" r:id="rId23" w:tooltip="&quot;ГОСТ 28216-89 (МЭК 68-2-30-82). Межгосударственный стандарт. Основные методы испытаний на воздействие внешних факторов. Часть 2. Испытания. Испытание Db и руководство: влажное тепло, циклическое (12 + 12-часовой цикл)&quot; (введен в действие Постановлением Госстандарта СССР от 15.08.1989 N 2559) {КонсультантПлюс}">
        <w:r>
          <w:rPr>
            <w:sz w:val="24"/>
            <w:color w:val="0000ff"/>
          </w:rPr>
          <w:t xml:space="preserve">ГОСТ 28216</w:t>
        </w:r>
      </w:hyperlink>
      <w:r>
        <w:rPr>
          <w:sz w:val="24"/>
        </w:rPr>
        <w:t xml:space="preserve"> (МЭК 68-2-30-82) Основные методы испытаний на воздействие внешних факторов. Часть 2. Испытания. Испытание Db и руководство: влажное тепло, циклическое (12 + 12-часовой цикл)</w:t>
      </w:r>
    </w:p>
    <w:p>
      <w:pPr>
        <w:pStyle w:val="0"/>
        <w:spacing w:before="240" w:lineRule="auto"/>
        <w:ind w:firstLine="540"/>
        <w:jc w:val="both"/>
      </w:pPr>
      <w:hyperlink w:history="0" r:id="rId24" w:tooltip="&quot;ГОСТ 30247.0-94. Конструкции строительные. Методы испытаний на огнестойкость. Общие требования&quot; (введен в действие Постановлением Минстроя РФ от 23.03.1995 N 18-26) {КонсультантПлюс}">
        <w:r>
          <w:rPr>
            <w:sz w:val="24"/>
            <w:color w:val="0000ff"/>
          </w:rPr>
          <w:t xml:space="preserve">ГОСТ 30247.0-94</w:t>
        </w:r>
      </w:hyperlink>
      <w:r>
        <w:rPr>
          <w:sz w:val="24"/>
        </w:rPr>
        <w:t xml:space="preserve"> (ИСО 834-75) Конструкции строительные. Методы испытаний на огнестойкость. Общие требования</w:t>
      </w:r>
    </w:p>
    <w:p>
      <w:pPr>
        <w:pStyle w:val="0"/>
        <w:spacing w:before="240" w:lineRule="auto"/>
        <w:ind w:firstLine="540"/>
        <w:jc w:val="both"/>
      </w:pPr>
      <w:hyperlink w:history="0" r:id="rId25" w:tooltip="&quot;ГОСТ 30372-2017 (IEC 60050-161:1990). Межгосударственный стандарт. Совместимость технических средств электромагнитная. Термины и определения&quot; (введен в действие Приказом Росстандарта от 14.12.2017 N 1980-ст) {КонсультантПлюс}">
        <w:r>
          <w:rPr>
            <w:sz w:val="24"/>
            <w:color w:val="0000ff"/>
          </w:rPr>
          <w:t xml:space="preserve">ГОСТ 30372</w:t>
        </w:r>
      </w:hyperlink>
      <w:r>
        <w:rPr>
          <w:sz w:val="24"/>
        </w:rPr>
        <w:t xml:space="preserve"> (IEC 60050-161:1990) Совместимость технических средств электромагнитная. Термины и определения</w:t>
      </w:r>
    </w:p>
    <w:p>
      <w:pPr>
        <w:pStyle w:val="0"/>
        <w:spacing w:before="240" w:lineRule="auto"/>
        <w:ind w:firstLine="540"/>
        <w:jc w:val="both"/>
      </w:pPr>
      <w:hyperlink w:history="0" r:id="rId26" w:tooltip="&quot;ГОСТ 30804.4.2-2013 (IEC 61000-4-2:2008). Межгосударственный стандарт. Совместимость технических средств электромагнитная. Устойчивость к электростатическим разрядам. Требования и методы испытаний&quot; (введен в действие Приказом Росстандарта от 22.07.2013 N 398-ст) {КонсультантПлюс}">
        <w:r>
          <w:rPr>
            <w:sz w:val="24"/>
            <w:color w:val="0000ff"/>
          </w:rPr>
          <w:t xml:space="preserve">ГОСТ 30804.4.2</w:t>
        </w:r>
      </w:hyperlink>
      <w:r>
        <w:rPr>
          <w:sz w:val="24"/>
        </w:rPr>
        <w:t xml:space="preserve"> (IEC 61000-4-2:2008) Совместимость технических средств электромагнитная. Устойчивость к электростатическим разрядам. Требования и методы испытаний</w:t>
      </w:r>
    </w:p>
    <w:p>
      <w:pPr>
        <w:pStyle w:val="0"/>
        <w:spacing w:before="240" w:lineRule="auto"/>
        <w:ind w:firstLine="540"/>
        <w:jc w:val="both"/>
      </w:pPr>
      <w:hyperlink w:history="0" r:id="rId27" w:tooltip="&quot;ГОСТ 30804.4.3-2013 (IEC 61000-4-3:2006)/[ГОСТ Р 51317.4.3-2006 (МЭК 61000-4-3:2006)]. Межгосударственный стандарт. Совместимость технических средств электромагнитная. Устойчивость к радиочастотному электромагнитному полю. Требования и методы испытаний&quot; (введен в действие Приказом Росстандарта от 22.07.2013 N 402-ст) {КонсультантПлюс}">
        <w:r>
          <w:rPr>
            <w:sz w:val="24"/>
            <w:color w:val="0000ff"/>
          </w:rPr>
          <w:t xml:space="preserve">ГОСТ 30804.4.3</w:t>
        </w:r>
      </w:hyperlink>
      <w:r>
        <w:rPr>
          <w:sz w:val="24"/>
        </w:rPr>
        <w:t xml:space="preserve"> (IEC 61000-4-3:2006) Совместимость технических средств электромагнитная. Устойчивость к радиочастотному электромагнитному полю. Требования и методы испытаний</w:t>
      </w:r>
    </w:p>
    <w:p>
      <w:pPr>
        <w:pStyle w:val="0"/>
        <w:spacing w:before="240" w:lineRule="auto"/>
        <w:ind w:firstLine="540"/>
        <w:jc w:val="both"/>
      </w:pPr>
      <w:hyperlink w:history="0" r:id="rId28" w:tooltip="&quot;ГОСТ 30804.4.4-2013 (IEC 61000-4-4:2004)/[ГОСТ Р 51317.4.4-2007 (МЭК 61000-4-4:2004)]. Межгосударственный стандарт. Совместимость технических средств электромагнитная. Устойчивость к наносекундным импульсным помехам. Требования и методы испытаний&quot; (введен в действие Приказом Росстандарта от 22.07.2013 N 403-ст) {КонсультантПлюс}">
        <w:r>
          <w:rPr>
            <w:sz w:val="24"/>
            <w:color w:val="0000ff"/>
          </w:rPr>
          <w:t xml:space="preserve">ГОСТ 30804.4.4</w:t>
        </w:r>
      </w:hyperlink>
      <w:r>
        <w:rPr>
          <w:sz w:val="24"/>
        </w:rPr>
        <w:t xml:space="preserve"> (IEC 610004-4:2004) Совместимость технических средств электромагнитная. Устойчивость к наносекундным импульсным помехам. Требования и методы испытаний</w:t>
      </w:r>
    </w:p>
    <w:p>
      <w:pPr>
        <w:pStyle w:val="0"/>
        <w:spacing w:before="240" w:lineRule="auto"/>
        <w:ind w:firstLine="540"/>
        <w:jc w:val="both"/>
      </w:pPr>
      <w:hyperlink w:history="0" r:id="rId29" w:tooltip="&quot;ГОСТ 30804.4.11-2013 (IEC 61000-4-11:2004)/[ГОСТ Р 51317.4.11-2007 (МЭК 61000-4-11:2004)]. Межгосударственный стандарт. Совместимость технических средств электромагнитная. Устойчивость к провалам, кратковременным прерываниям и изменениям напряжения электропитания. Требования и методы испытаний&quot; (введен в действие Приказом Росстандарта от 22.07.2013 N 404-ст) {КонсультантПлюс}">
        <w:r>
          <w:rPr>
            <w:sz w:val="24"/>
            <w:color w:val="0000ff"/>
          </w:rPr>
          <w:t xml:space="preserve">ГОСТ 30804.4.11</w:t>
        </w:r>
      </w:hyperlink>
      <w:r>
        <w:rPr>
          <w:sz w:val="24"/>
        </w:rPr>
        <w:t xml:space="preserve"> (IEC 61000-4-11:2004) Совместимость технических средств электромагнитная. Устойчивость к провалам, кратковременным прерываниям и изменениям напряжения электропитания. Требования и методы испытаний</w:t>
      </w:r>
    </w:p>
    <w:p>
      <w:pPr>
        <w:pStyle w:val="0"/>
        <w:spacing w:before="240" w:lineRule="auto"/>
        <w:ind w:firstLine="540"/>
        <w:jc w:val="both"/>
      </w:pPr>
      <w:hyperlink w:history="0" r:id="rId30" w:tooltip="&quot;ГОСТ 30805.22-2013 (CISPR 22:2006). Межгосударственный стандарт. Совместимость технических средств электромагнитная. Оборудование информационных технологий. Радиопомехи индустриальные. Нормы и методы измерений&quot; (введен в действие Приказом Росстандарта от 22.07.2013 N 415-ст) {КонсультантПлюс}">
        <w:r>
          <w:rPr>
            <w:sz w:val="24"/>
            <w:color w:val="0000ff"/>
          </w:rPr>
          <w:t xml:space="preserve">ГОСТ 30805.22-2013</w:t>
        </w:r>
      </w:hyperlink>
      <w:r>
        <w:rPr>
          <w:sz w:val="24"/>
        </w:rPr>
        <w:t xml:space="preserve"> (CISPR 22:2006) Совместимость технических средств электромагнитная. Оборудование информационных технологий. Радиопомехи индустриальные. Нормы и методы измерений</w:t>
      </w:r>
    </w:p>
    <w:p>
      <w:pPr>
        <w:pStyle w:val="0"/>
        <w:spacing w:before="240" w:lineRule="auto"/>
        <w:ind w:firstLine="540"/>
        <w:jc w:val="both"/>
      </w:pPr>
      <w:hyperlink w:history="0" r:id="rId31" w:tooltip="&quot;ГОСТ IEC 60065-2013. Межгосударственный стандарт. Аудио-, видео- и аналогичная электронная аппаратура. Требования безопасности&quot; (введен в действие Приказом Росстандарта от 02.04.2014 N 291-ст) ------------ Утратил силу или отменен {КонсультантПлюс}">
        <w:r>
          <w:rPr>
            <w:sz w:val="24"/>
            <w:color w:val="0000ff"/>
          </w:rPr>
          <w:t xml:space="preserve">ГОСТ IEC 60065-2013</w:t>
        </w:r>
      </w:hyperlink>
      <w:r>
        <w:rPr>
          <w:sz w:val="24"/>
        </w:rPr>
        <w:t xml:space="preserve"> Аудио-, видео- и аналогичная электронная аппаратура. Требования безопасности</w:t>
      </w:r>
    </w:p>
    <w:p>
      <w:pPr>
        <w:pStyle w:val="0"/>
        <w:spacing w:before="240" w:lineRule="auto"/>
        <w:ind w:firstLine="540"/>
        <w:jc w:val="both"/>
      </w:pPr>
      <w:hyperlink w:history="0" r:id="rId32" w:tooltip="&quot;ГОСТ IEC 61000-4-5-2017. Межгосударственный стандарт. Электромагнитная совместимость (ЭМС). Часть 4-5. Методы испытаний и измерений. Испытание на устойчивость к выбросу напряжения&quot; (введен в действие Приказом Росстандарта от 14.12.2017 N 1979-ст) {КонсультантПлюс}">
        <w:r>
          <w:rPr>
            <w:sz w:val="24"/>
            <w:color w:val="0000ff"/>
          </w:rPr>
          <w:t xml:space="preserve">ГОСТ IEC 61000-4-5</w:t>
        </w:r>
      </w:hyperlink>
      <w:r>
        <w:rPr>
          <w:sz w:val="24"/>
        </w:rPr>
        <w:t xml:space="preserve"> Электромагнитная совместимость (ЭМС). Часть 4-5. Методы испытаний и измерений. Испытания на устойчивость к выбросу напряжения</w:t>
      </w:r>
    </w:p>
    <w:p>
      <w:pPr>
        <w:pStyle w:val="0"/>
        <w:spacing w:before="240" w:lineRule="auto"/>
        <w:ind w:firstLine="540"/>
        <w:jc w:val="both"/>
      </w:pPr>
      <w:r>
        <w:rPr>
          <w:sz w:val="24"/>
        </w:rPr>
        <w:t xml:space="preserve">Примечание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pPr>
        <w:pStyle w:val="0"/>
        <w:ind w:firstLine="540"/>
        <w:jc w:val="both"/>
      </w:pPr>
      <w:r>
        <w:rPr>
          <w:sz w:val="24"/>
        </w:rPr>
      </w:r>
    </w:p>
    <w:p>
      <w:pPr>
        <w:pStyle w:val="2"/>
        <w:outlineLvl w:val="1"/>
        <w:ind w:firstLine="540"/>
        <w:jc w:val="both"/>
      </w:pPr>
      <w:r>
        <w:rPr>
          <w:sz w:val="24"/>
          <w:b w:val="on"/>
        </w:rPr>
        <w:t xml:space="preserve">3 Термины и определения</w:t>
      </w:r>
    </w:p>
    <w:p>
      <w:pPr>
        <w:pStyle w:val="0"/>
        <w:ind w:firstLine="540"/>
        <w:jc w:val="both"/>
      </w:pPr>
      <w:r>
        <w:rPr>
          <w:sz w:val="24"/>
        </w:rPr>
      </w:r>
    </w:p>
    <w:p>
      <w:pPr>
        <w:pStyle w:val="0"/>
        <w:ind w:firstLine="540"/>
        <w:jc w:val="both"/>
      </w:pPr>
      <w:r>
        <w:rPr>
          <w:sz w:val="24"/>
        </w:rPr>
        <w:t xml:space="preserve">В настоящем стандарте применены следующие термины с соответствующими определениями:</w:t>
      </w:r>
    </w:p>
    <w:p>
      <w:pPr>
        <w:pStyle w:val="0"/>
        <w:spacing w:before="240" w:lineRule="auto"/>
        <w:ind w:firstLine="540"/>
        <w:jc w:val="both"/>
      </w:pPr>
      <w:r>
        <w:rPr>
          <w:sz w:val="24"/>
        </w:rPr>
        <w:t xml:space="preserve">3.1 </w:t>
      </w:r>
      <w:r>
        <w:rPr>
          <w:sz w:val="24"/>
          <w:b w:val="on"/>
        </w:rPr>
        <w:t xml:space="preserve">базовое основание:</w:t>
      </w:r>
      <w:r>
        <w:rPr>
          <w:sz w:val="24"/>
        </w:rPr>
        <w:t xml:space="preserve"> Техническое средство или конструктивный элемент, предназначенные для обеспечения крепления, монтажа и коммутации пожарных оповещателей и иных технических средств пожарной автоматики.</w:t>
      </w:r>
    </w:p>
    <w:p>
      <w:pPr>
        <w:pStyle w:val="0"/>
        <w:spacing w:before="240" w:lineRule="auto"/>
        <w:ind w:firstLine="540"/>
        <w:jc w:val="both"/>
      </w:pPr>
      <w:r>
        <w:rPr>
          <w:sz w:val="24"/>
        </w:rPr>
        <w:t xml:space="preserve">3.2 </w:t>
      </w:r>
      <w:r>
        <w:rPr>
          <w:sz w:val="24"/>
          <w:b w:val="on"/>
        </w:rPr>
        <w:t xml:space="preserve">дежурный режим:</w:t>
      </w:r>
      <w:r>
        <w:rPr>
          <w:sz w:val="24"/>
        </w:rPr>
        <w:t xml:space="preserve"> Состояние готовности к выполнению функционального назначения.</w:t>
      </w:r>
    </w:p>
    <w:p>
      <w:pPr>
        <w:pStyle w:val="0"/>
        <w:spacing w:before="240" w:lineRule="auto"/>
        <w:ind w:firstLine="540"/>
        <w:jc w:val="both"/>
      </w:pPr>
      <w:r>
        <w:rPr>
          <w:sz w:val="24"/>
        </w:rPr>
        <w:t xml:space="preserve">3.3 </w:t>
      </w:r>
      <w:r>
        <w:rPr>
          <w:sz w:val="24"/>
          <w:b w:val="on"/>
        </w:rPr>
        <w:t xml:space="preserve">линия связи:</w:t>
      </w:r>
      <w:r>
        <w:rPr>
          <w:sz w:val="24"/>
        </w:rPr>
        <w:t xml:space="preserve"> Провода, кабели, оптическое волокно, радиоканал или другие цепи передачи сигналов, обеспечивающие взаимодействие и обмен информацией между компонентами системы пожарной автоматики, а также их электропитание.</w:t>
      </w:r>
    </w:p>
    <w:p>
      <w:pPr>
        <w:pStyle w:val="0"/>
        <w:spacing w:before="240" w:lineRule="auto"/>
        <w:ind w:firstLine="540"/>
        <w:jc w:val="both"/>
      </w:pPr>
      <w:r>
        <w:rPr>
          <w:sz w:val="24"/>
        </w:rPr>
        <w:t xml:space="preserve">3.4 </w:t>
      </w:r>
      <w:r>
        <w:rPr>
          <w:sz w:val="24"/>
          <w:b w:val="on"/>
        </w:rPr>
        <w:t xml:space="preserve">номинальное значение напряжения питания</w:t>
      </w:r>
      <w:r>
        <w:rPr>
          <w:sz w:val="24"/>
        </w:rPr>
        <w:t xml:space="preserve"> </w:t>
      </w:r>
      <w:r>
        <w:rPr>
          <w:sz w:val="24"/>
          <w:b w:val="on"/>
          <w:i w:val="on"/>
        </w:rPr>
        <w:t xml:space="preserve">U</w:t>
      </w:r>
      <w:r>
        <w:rPr>
          <w:sz w:val="24"/>
          <w:b w:val="on"/>
          <w:vertAlign w:val="subscript"/>
        </w:rPr>
        <w:t xml:space="preserve">ном</w:t>
      </w:r>
      <w:r>
        <w:rPr>
          <w:sz w:val="24"/>
          <w:b w:val="on"/>
        </w:rPr>
        <w:t xml:space="preserve">, В:</w:t>
      </w:r>
      <w:r>
        <w:rPr>
          <w:sz w:val="24"/>
        </w:rPr>
        <w:t xml:space="preserve"> Установленное изготовителем значение напряжения питания, при котором гарантируется выполнение техническим средством своих функций.</w:t>
      </w:r>
    </w:p>
    <w:p>
      <w:pPr>
        <w:pStyle w:val="0"/>
        <w:spacing w:before="240" w:lineRule="auto"/>
        <w:ind w:firstLine="540"/>
        <w:jc w:val="both"/>
      </w:pPr>
      <w:r>
        <w:rPr>
          <w:sz w:val="24"/>
        </w:rPr>
        <w:t xml:space="preserve">3.5 </w:t>
      </w:r>
      <w:r>
        <w:rPr>
          <w:sz w:val="24"/>
          <w:b w:val="on"/>
        </w:rPr>
        <w:t xml:space="preserve">оповещатель пожарный;</w:t>
      </w:r>
      <w:r>
        <w:rPr>
          <w:sz w:val="24"/>
        </w:rPr>
        <w:t xml:space="preserve"> ОП: Техническое средство, предназначенное для оповещения людей о пожаре и путях эвакуации посредством подачи светового, звукового, речевого сигналов или иного воздействия на органы чувств человека.</w:t>
      </w:r>
    </w:p>
    <w:p>
      <w:pPr>
        <w:pStyle w:val="0"/>
        <w:spacing w:before="240" w:lineRule="auto"/>
        <w:ind w:firstLine="540"/>
        <w:jc w:val="both"/>
      </w:pPr>
      <w:r>
        <w:rPr>
          <w:sz w:val="24"/>
        </w:rPr>
        <w:t xml:space="preserve">Примечание - К ОП дополнительно относятся технические средства, обеспечивающие информирование о состоянии или режиме работы системы пожарной автоматики, а также событиях, связанных с алгоритмом функционирования системы.</w:t>
      </w:r>
    </w:p>
    <w:p>
      <w:pPr>
        <w:pStyle w:val="0"/>
        <w:ind w:firstLine="540"/>
        <w:jc w:val="both"/>
      </w:pPr>
      <w:r>
        <w:rPr>
          <w:sz w:val="24"/>
        </w:rPr>
      </w:r>
    </w:p>
    <w:p>
      <w:pPr>
        <w:pStyle w:val="0"/>
        <w:ind w:firstLine="540"/>
        <w:jc w:val="both"/>
      </w:pPr>
      <w:r>
        <w:rPr>
          <w:sz w:val="24"/>
        </w:rPr>
        <w:t xml:space="preserve">3.6 </w:t>
      </w:r>
      <w:r>
        <w:rPr>
          <w:sz w:val="24"/>
          <w:b w:val="on"/>
        </w:rPr>
        <w:t xml:space="preserve">оповещатель пожарный звуковой;</w:t>
      </w:r>
      <w:r>
        <w:rPr>
          <w:sz w:val="24"/>
        </w:rPr>
        <w:t xml:space="preserve"> ОПЗ: Техническое средство, предназначенное для оповещения людей о пожаре посредством подачи звукового сигнала.</w:t>
      </w:r>
    </w:p>
    <w:p>
      <w:pPr>
        <w:pStyle w:val="0"/>
        <w:spacing w:before="240" w:lineRule="auto"/>
        <w:ind w:firstLine="540"/>
        <w:jc w:val="both"/>
      </w:pPr>
      <w:r>
        <w:rPr>
          <w:sz w:val="24"/>
        </w:rPr>
        <w:t xml:space="preserve">3.7 </w:t>
      </w:r>
      <w:r>
        <w:rPr>
          <w:sz w:val="24"/>
          <w:b w:val="on"/>
        </w:rPr>
        <w:t xml:space="preserve">оповещатель пожарный индивидуальный;</w:t>
      </w:r>
      <w:r>
        <w:rPr>
          <w:sz w:val="24"/>
        </w:rPr>
        <w:t xml:space="preserve"> ОПИ: Техническое средство, предназначенное для индивидуального оповещения людей о пожаре посредством формирования светового, звукового, речевого, вибрационного или иного воздействия на органы чувств человека.</w:t>
      </w:r>
    </w:p>
    <w:p>
      <w:pPr>
        <w:pStyle w:val="0"/>
        <w:spacing w:before="240" w:lineRule="auto"/>
        <w:ind w:firstLine="540"/>
        <w:jc w:val="both"/>
      </w:pPr>
      <w:r>
        <w:rPr>
          <w:sz w:val="24"/>
        </w:rPr>
        <w:t xml:space="preserve">3.8 </w:t>
      </w:r>
      <w:r>
        <w:rPr>
          <w:sz w:val="24"/>
          <w:b w:val="on"/>
        </w:rPr>
        <w:t xml:space="preserve">оповещатель пожарный комбинированный;</w:t>
      </w:r>
      <w:r>
        <w:rPr>
          <w:sz w:val="24"/>
        </w:rPr>
        <w:t xml:space="preserve"> ОПК: Техническое средство, предназначенное для оповещения людей о пожаре и путях эвакуации посредством подачи комбинации звуковых, речевых и световых сигналов в любом их сочетании (свето-звуковой, свето-речевой, звуко-речевой, свето-звуко-речевой и т.д.).</w:t>
      </w:r>
    </w:p>
    <w:p>
      <w:pPr>
        <w:pStyle w:val="0"/>
        <w:spacing w:before="240" w:lineRule="auto"/>
        <w:ind w:firstLine="540"/>
        <w:jc w:val="both"/>
      </w:pPr>
      <w:r>
        <w:rPr>
          <w:sz w:val="24"/>
        </w:rPr>
        <w:t xml:space="preserve">3.9 </w:t>
      </w:r>
      <w:r>
        <w:rPr>
          <w:sz w:val="24"/>
          <w:b w:val="on"/>
        </w:rPr>
        <w:t xml:space="preserve">оповещатель пожарный речевой;</w:t>
      </w:r>
      <w:r>
        <w:rPr>
          <w:sz w:val="24"/>
        </w:rPr>
        <w:t xml:space="preserve"> ОПР: Техническое средство, предназначенное для оповещения людей о пожаре и путях эвакуации посредством подачи речевого сигнала.</w:t>
      </w:r>
    </w:p>
    <w:p>
      <w:pPr>
        <w:pStyle w:val="0"/>
        <w:spacing w:before="240" w:lineRule="auto"/>
        <w:ind w:firstLine="540"/>
        <w:jc w:val="both"/>
      </w:pPr>
      <w:r>
        <w:rPr>
          <w:sz w:val="24"/>
        </w:rPr>
        <w:t xml:space="preserve">3.10 </w:t>
      </w:r>
      <w:r>
        <w:rPr>
          <w:sz w:val="24"/>
          <w:b w:val="on"/>
        </w:rPr>
        <w:t xml:space="preserve">оповещатель пожарный световой;</w:t>
      </w:r>
      <w:r>
        <w:rPr>
          <w:sz w:val="24"/>
        </w:rPr>
        <w:t xml:space="preserve"> ОПС: Техническое средство, предназначенное для оповещения людей о пожаре и путях эвакуации посредством подачи светового сигнала.</w:t>
      </w:r>
    </w:p>
    <w:p>
      <w:pPr>
        <w:pStyle w:val="0"/>
        <w:spacing w:before="240" w:lineRule="auto"/>
        <w:ind w:firstLine="540"/>
        <w:jc w:val="both"/>
      </w:pPr>
      <w:r>
        <w:rPr>
          <w:sz w:val="24"/>
        </w:rPr>
        <w:t xml:space="preserve">3.11 </w:t>
      </w:r>
      <w:r>
        <w:rPr>
          <w:sz w:val="24"/>
          <w:b w:val="on"/>
        </w:rPr>
        <w:t xml:space="preserve">пожарный прибор управления техническими средствами оповещения и управления эвакуацией;</w:t>
      </w:r>
      <w:r>
        <w:rPr>
          <w:sz w:val="24"/>
        </w:rPr>
        <w:t xml:space="preserve"> ППУ-ТСО: Техническое устройство, предназначенное для управления исполнительными устройствами системы оповещения и управления эвакуацией при пожаре (пожарными оповещателями) и контроля целостности и функционирования линий связи с ними.</w:t>
      </w:r>
    </w:p>
    <w:p>
      <w:pPr>
        <w:pStyle w:val="0"/>
        <w:spacing w:before="240" w:lineRule="auto"/>
        <w:ind w:firstLine="540"/>
        <w:jc w:val="both"/>
      </w:pPr>
      <w:r>
        <w:rPr>
          <w:sz w:val="24"/>
        </w:rPr>
        <w:t xml:space="preserve">3.12 </w:t>
      </w:r>
      <w:r>
        <w:rPr>
          <w:sz w:val="24"/>
          <w:b w:val="on"/>
        </w:rPr>
        <w:t xml:space="preserve">расстояние распознавания:</w:t>
      </w:r>
      <w:r>
        <w:rPr>
          <w:sz w:val="24"/>
        </w:rPr>
        <w:t xml:space="preserve"> Дистанция от наблюдателя до ОПС, при которой информационные знаки, отображаемые на ОПС, считаются различимыми.</w:t>
      </w:r>
    </w:p>
    <w:p>
      <w:pPr>
        <w:pStyle w:val="0"/>
        <w:spacing w:before="240" w:lineRule="auto"/>
        <w:ind w:firstLine="540"/>
        <w:jc w:val="both"/>
      </w:pPr>
      <w:r>
        <w:rPr>
          <w:sz w:val="24"/>
        </w:rPr>
        <w:t xml:space="preserve">3.13 </w:t>
      </w:r>
      <w:r>
        <w:rPr>
          <w:sz w:val="24"/>
          <w:b w:val="on"/>
        </w:rPr>
        <w:t xml:space="preserve">режим "Неисправность":</w:t>
      </w:r>
      <w:r>
        <w:rPr>
          <w:sz w:val="24"/>
        </w:rPr>
        <w:t xml:space="preserve"> Состояние пожарного оповещателя, при котором он не может выполнять свои функции частично или в полном объеме.</w:t>
      </w:r>
    </w:p>
    <w:p>
      <w:pPr>
        <w:pStyle w:val="0"/>
        <w:spacing w:before="240" w:lineRule="auto"/>
        <w:ind w:firstLine="540"/>
        <w:jc w:val="both"/>
      </w:pPr>
      <w:r>
        <w:rPr>
          <w:sz w:val="24"/>
        </w:rPr>
        <w:t xml:space="preserve">3.14 </w:t>
      </w:r>
      <w:r>
        <w:rPr>
          <w:sz w:val="24"/>
          <w:b w:val="on"/>
        </w:rPr>
        <w:t xml:space="preserve">режим "Пожар":</w:t>
      </w:r>
      <w:r>
        <w:rPr>
          <w:sz w:val="24"/>
        </w:rPr>
        <w:t xml:space="preserve"> Состояние, при котором оповещатель генерирует сигнал оповещения о пожаре.</w:t>
      </w:r>
    </w:p>
    <w:p>
      <w:pPr>
        <w:pStyle w:val="0"/>
        <w:ind w:firstLine="540"/>
        <w:jc w:val="both"/>
      </w:pPr>
      <w:r>
        <w:rPr>
          <w:sz w:val="24"/>
        </w:rPr>
      </w:r>
    </w:p>
    <w:p>
      <w:pPr>
        <w:pStyle w:val="2"/>
        <w:outlineLvl w:val="1"/>
        <w:ind w:firstLine="540"/>
        <w:jc w:val="both"/>
      </w:pPr>
      <w:r>
        <w:rPr>
          <w:sz w:val="24"/>
          <w:b w:val="on"/>
        </w:rPr>
        <w:t xml:space="preserve">4 Классификация</w:t>
      </w:r>
    </w:p>
    <w:p>
      <w:pPr>
        <w:pStyle w:val="0"/>
        <w:ind w:firstLine="540"/>
        <w:jc w:val="both"/>
      </w:pPr>
      <w:r>
        <w:rPr>
          <w:sz w:val="24"/>
        </w:rPr>
      </w:r>
    </w:p>
    <w:p>
      <w:pPr>
        <w:pStyle w:val="0"/>
        <w:ind w:firstLine="540"/>
        <w:jc w:val="both"/>
      </w:pPr>
      <w:r>
        <w:rPr>
          <w:sz w:val="24"/>
          <w:b w:val="on"/>
        </w:rPr>
        <w:t xml:space="preserve">4.1 Классификация ОП</w:t>
      </w:r>
    </w:p>
    <w:p>
      <w:pPr>
        <w:pStyle w:val="0"/>
        <w:ind w:firstLine="540"/>
        <w:jc w:val="both"/>
      </w:pPr>
      <w:r>
        <w:rPr>
          <w:sz w:val="24"/>
        </w:rPr>
      </w:r>
    </w:p>
    <w:p>
      <w:pPr>
        <w:pStyle w:val="0"/>
        <w:ind w:firstLine="540"/>
        <w:jc w:val="both"/>
      </w:pPr>
      <w:r>
        <w:rPr>
          <w:sz w:val="24"/>
        </w:rPr>
        <w:t xml:space="preserve">4.1.1 Классификацию ОП осуществляют по следующим классификационным признакам:</w:t>
      </w:r>
    </w:p>
    <w:p>
      <w:pPr>
        <w:pStyle w:val="0"/>
        <w:spacing w:before="240" w:lineRule="auto"/>
        <w:ind w:firstLine="540"/>
        <w:jc w:val="both"/>
      </w:pPr>
      <w:r>
        <w:rPr>
          <w:sz w:val="24"/>
        </w:rPr>
        <w:t xml:space="preserve">- типу генерируемых сигналов </w:t>
      </w:r>
      <w:hyperlink w:history="0" w:anchor="P132" w:tooltip="4.1.2 ОП в зависимости от типа генерируемых сигналов подразделяют:">
        <w:r>
          <w:rPr>
            <w:sz w:val="24"/>
            <w:color w:val="0000ff"/>
          </w:rPr>
          <w:t xml:space="preserve">(4.1.2)</w:t>
        </w:r>
      </w:hyperlink>
      <w:r>
        <w:rPr>
          <w:sz w:val="24"/>
        </w:rPr>
        <w:t xml:space="preserve">;</w:t>
      </w:r>
    </w:p>
    <w:p>
      <w:pPr>
        <w:pStyle w:val="0"/>
        <w:spacing w:before="240" w:lineRule="auto"/>
        <w:ind w:firstLine="540"/>
        <w:jc w:val="both"/>
      </w:pPr>
      <w:r>
        <w:rPr>
          <w:sz w:val="24"/>
        </w:rPr>
        <w:t xml:space="preserve">- способу электропитания </w:t>
      </w:r>
      <w:hyperlink w:history="0" w:anchor="P140" w:tooltip="4.1.3 По способу электропитания ОП подразделяют:">
        <w:r>
          <w:rPr>
            <w:sz w:val="24"/>
            <w:color w:val="0000ff"/>
          </w:rPr>
          <w:t xml:space="preserve">(4.1.3)</w:t>
        </w:r>
      </w:hyperlink>
      <w:r>
        <w:rPr>
          <w:sz w:val="24"/>
        </w:rPr>
        <w:t xml:space="preserve">;</w:t>
      </w:r>
    </w:p>
    <w:p>
      <w:pPr>
        <w:pStyle w:val="0"/>
        <w:spacing w:before="240" w:lineRule="auto"/>
        <w:ind w:firstLine="540"/>
        <w:jc w:val="both"/>
      </w:pPr>
      <w:r>
        <w:rPr>
          <w:sz w:val="24"/>
        </w:rPr>
        <w:t xml:space="preserve">- возможности установки адреса </w:t>
      </w:r>
      <w:hyperlink w:history="0" w:anchor="P144" w:tooltip="4.1.4 По возможности установки адреса ОП подразделяют:">
        <w:r>
          <w:rPr>
            <w:sz w:val="24"/>
            <w:color w:val="0000ff"/>
          </w:rPr>
          <w:t xml:space="preserve">(4.1.4)</w:t>
        </w:r>
      </w:hyperlink>
      <w:r>
        <w:rPr>
          <w:sz w:val="24"/>
        </w:rPr>
        <w:t xml:space="preserve">;</w:t>
      </w:r>
    </w:p>
    <w:p>
      <w:pPr>
        <w:pStyle w:val="0"/>
        <w:spacing w:before="240" w:lineRule="auto"/>
        <w:ind w:firstLine="540"/>
        <w:jc w:val="both"/>
      </w:pPr>
      <w:r>
        <w:rPr>
          <w:sz w:val="24"/>
        </w:rPr>
        <w:t xml:space="preserve">- физической реализации связи с ППУ-ТСО </w:t>
      </w:r>
      <w:hyperlink w:history="0" w:anchor="P147" w:tooltip="4.1.5 По физической реализации связи с ППУ-ТСО ОП подразделяют:">
        <w:r>
          <w:rPr>
            <w:sz w:val="24"/>
            <w:color w:val="0000ff"/>
          </w:rPr>
          <w:t xml:space="preserve">(4.1.5)</w:t>
        </w:r>
      </w:hyperlink>
      <w:r>
        <w:rPr>
          <w:sz w:val="24"/>
        </w:rPr>
        <w:t xml:space="preserve">;</w:t>
      </w:r>
    </w:p>
    <w:p>
      <w:pPr>
        <w:pStyle w:val="0"/>
        <w:spacing w:before="240" w:lineRule="auto"/>
        <w:ind w:firstLine="540"/>
        <w:jc w:val="both"/>
      </w:pPr>
      <w:r>
        <w:rPr>
          <w:sz w:val="24"/>
        </w:rPr>
        <w:t xml:space="preserve">- назначению </w:t>
      </w:r>
      <w:hyperlink w:history="0" w:anchor="P152" w:tooltip="4.1.6 По назначению ОП подразделяют на предназначенные для информирования:">
        <w:r>
          <w:rPr>
            <w:sz w:val="24"/>
            <w:color w:val="0000ff"/>
          </w:rPr>
          <w:t xml:space="preserve">(4.1.6)</w:t>
        </w:r>
      </w:hyperlink>
      <w:r>
        <w:rPr>
          <w:sz w:val="24"/>
        </w:rPr>
        <w:t xml:space="preserve">.</w:t>
      </w:r>
    </w:p>
    <w:bookmarkStart w:id="132" w:name="P132"/>
    <w:bookmarkEnd w:id="132"/>
    <w:p>
      <w:pPr>
        <w:pStyle w:val="0"/>
        <w:spacing w:before="240" w:lineRule="auto"/>
        <w:ind w:firstLine="540"/>
        <w:jc w:val="both"/>
      </w:pPr>
      <w:r>
        <w:rPr>
          <w:sz w:val="24"/>
        </w:rPr>
        <w:t xml:space="preserve">4.1.2 ОП в зависимости от типа генерируемых сигналов подразделяют:</w:t>
      </w:r>
    </w:p>
    <w:p>
      <w:pPr>
        <w:pStyle w:val="0"/>
        <w:spacing w:before="240" w:lineRule="auto"/>
        <w:ind w:firstLine="540"/>
        <w:jc w:val="both"/>
      </w:pPr>
      <w:r>
        <w:rPr>
          <w:sz w:val="24"/>
        </w:rPr>
        <w:t xml:space="preserve">- на световые (в том числе светоуказатели направления движения);</w:t>
      </w:r>
    </w:p>
    <w:p>
      <w:pPr>
        <w:pStyle w:val="0"/>
        <w:spacing w:before="240" w:lineRule="auto"/>
        <w:ind w:firstLine="540"/>
        <w:jc w:val="both"/>
      </w:pPr>
      <w:r>
        <w:rPr>
          <w:sz w:val="24"/>
        </w:rPr>
        <w:t xml:space="preserve">- звуковые (в том числе звукоуказатели эвакуационного выхода);</w:t>
      </w:r>
    </w:p>
    <w:p>
      <w:pPr>
        <w:pStyle w:val="0"/>
        <w:spacing w:before="240" w:lineRule="auto"/>
        <w:ind w:firstLine="540"/>
        <w:jc w:val="both"/>
      </w:pPr>
      <w:r>
        <w:rPr>
          <w:sz w:val="24"/>
        </w:rPr>
        <w:t xml:space="preserve">- речевые;</w:t>
      </w:r>
    </w:p>
    <w:p>
      <w:pPr>
        <w:pStyle w:val="0"/>
        <w:spacing w:before="240" w:lineRule="auto"/>
        <w:ind w:firstLine="540"/>
        <w:jc w:val="both"/>
      </w:pPr>
      <w:r>
        <w:rPr>
          <w:sz w:val="24"/>
        </w:rPr>
        <w:t xml:space="preserve">- вибрационные (для ОПИ);</w:t>
      </w:r>
    </w:p>
    <w:p>
      <w:pPr>
        <w:pStyle w:val="0"/>
        <w:spacing w:before="240" w:lineRule="auto"/>
        <w:ind w:firstLine="540"/>
        <w:jc w:val="both"/>
      </w:pPr>
      <w:r>
        <w:rPr>
          <w:sz w:val="24"/>
        </w:rPr>
        <w:t xml:space="preserve">- электротоковые (для ОПИ);</w:t>
      </w:r>
    </w:p>
    <w:p>
      <w:pPr>
        <w:pStyle w:val="0"/>
        <w:spacing w:before="240" w:lineRule="auto"/>
        <w:ind w:firstLine="540"/>
        <w:jc w:val="both"/>
      </w:pPr>
      <w:r>
        <w:rPr>
          <w:sz w:val="24"/>
        </w:rPr>
        <w:t xml:space="preserve">- комбинированные;</w:t>
      </w:r>
    </w:p>
    <w:p>
      <w:pPr>
        <w:pStyle w:val="0"/>
        <w:spacing w:before="240" w:lineRule="auto"/>
        <w:ind w:firstLine="540"/>
        <w:jc w:val="both"/>
      </w:pPr>
      <w:r>
        <w:rPr>
          <w:sz w:val="24"/>
        </w:rPr>
        <w:t xml:space="preserve">- прочие.</w:t>
      </w:r>
    </w:p>
    <w:bookmarkStart w:id="140" w:name="P140"/>
    <w:bookmarkEnd w:id="140"/>
    <w:p>
      <w:pPr>
        <w:pStyle w:val="0"/>
        <w:spacing w:before="240" w:lineRule="auto"/>
        <w:ind w:firstLine="540"/>
        <w:jc w:val="both"/>
      </w:pPr>
      <w:r>
        <w:rPr>
          <w:sz w:val="24"/>
        </w:rPr>
        <w:t xml:space="preserve">4.1.3 По способу электропитания ОП подразделяют:</w:t>
      </w:r>
    </w:p>
    <w:p>
      <w:pPr>
        <w:pStyle w:val="0"/>
        <w:spacing w:before="240" w:lineRule="auto"/>
        <w:ind w:firstLine="540"/>
        <w:jc w:val="both"/>
      </w:pPr>
      <w:r>
        <w:rPr>
          <w:sz w:val="24"/>
        </w:rPr>
        <w:t xml:space="preserve">- на питаемые по линии управления;</w:t>
      </w:r>
    </w:p>
    <w:p>
      <w:pPr>
        <w:pStyle w:val="0"/>
        <w:spacing w:before="240" w:lineRule="auto"/>
        <w:ind w:firstLine="540"/>
        <w:jc w:val="both"/>
      </w:pPr>
      <w:r>
        <w:rPr>
          <w:sz w:val="24"/>
        </w:rPr>
        <w:t xml:space="preserve">- питаемые по отдельной линии;</w:t>
      </w:r>
    </w:p>
    <w:p>
      <w:pPr>
        <w:pStyle w:val="0"/>
        <w:spacing w:before="240" w:lineRule="auto"/>
        <w:ind w:firstLine="540"/>
        <w:jc w:val="both"/>
      </w:pPr>
      <w:r>
        <w:rPr>
          <w:sz w:val="24"/>
        </w:rPr>
        <w:t xml:space="preserve">- питаемые от встраиваемого автономного источника.</w:t>
      </w:r>
    </w:p>
    <w:bookmarkStart w:id="144" w:name="P144"/>
    <w:bookmarkEnd w:id="144"/>
    <w:p>
      <w:pPr>
        <w:pStyle w:val="0"/>
        <w:spacing w:before="240" w:lineRule="auto"/>
        <w:ind w:firstLine="540"/>
        <w:jc w:val="both"/>
      </w:pPr>
      <w:r>
        <w:rPr>
          <w:sz w:val="24"/>
        </w:rPr>
        <w:t xml:space="preserve">4.1.4 По возможности установки адреса ОП подразделяют:</w:t>
      </w:r>
    </w:p>
    <w:p>
      <w:pPr>
        <w:pStyle w:val="0"/>
        <w:spacing w:before="240" w:lineRule="auto"/>
        <w:ind w:firstLine="540"/>
        <w:jc w:val="both"/>
      </w:pPr>
      <w:r>
        <w:rPr>
          <w:sz w:val="24"/>
        </w:rPr>
        <w:t xml:space="preserve">- на неадресные;</w:t>
      </w:r>
    </w:p>
    <w:p>
      <w:pPr>
        <w:pStyle w:val="0"/>
        <w:spacing w:before="240" w:lineRule="auto"/>
        <w:ind w:firstLine="540"/>
        <w:jc w:val="both"/>
      </w:pPr>
      <w:r>
        <w:rPr>
          <w:sz w:val="24"/>
        </w:rPr>
        <w:t xml:space="preserve">- адресные.</w:t>
      </w:r>
    </w:p>
    <w:bookmarkStart w:id="147" w:name="P147"/>
    <w:bookmarkEnd w:id="147"/>
    <w:p>
      <w:pPr>
        <w:pStyle w:val="0"/>
        <w:spacing w:before="240" w:lineRule="auto"/>
        <w:ind w:firstLine="540"/>
        <w:jc w:val="both"/>
      </w:pPr>
      <w:r>
        <w:rPr>
          <w:sz w:val="24"/>
        </w:rPr>
        <w:t xml:space="preserve">4.1.5 По физической реализации связи с ППУ-ТСО ОП подразделяют:</w:t>
      </w:r>
    </w:p>
    <w:p>
      <w:pPr>
        <w:pStyle w:val="0"/>
        <w:spacing w:before="240" w:lineRule="auto"/>
        <w:ind w:firstLine="540"/>
        <w:jc w:val="both"/>
      </w:pPr>
      <w:r>
        <w:rPr>
          <w:sz w:val="24"/>
        </w:rPr>
        <w:t xml:space="preserve">- на проводные;</w:t>
      </w:r>
    </w:p>
    <w:p>
      <w:pPr>
        <w:pStyle w:val="0"/>
        <w:spacing w:before="240" w:lineRule="auto"/>
        <w:ind w:firstLine="540"/>
        <w:jc w:val="both"/>
      </w:pPr>
      <w:r>
        <w:rPr>
          <w:sz w:val="24"/>
        </w:rPr>
        <w:t xml:space="preserve">- радиоканальные;</w:t>
      </w:r>
    </w:p>
    <w:p>
      <w:pPr>
        <w:pStyle w:val="0"/>
        <w:spacing w:before="240" w:lineRule="auto"/>
        <w:ind w:firstLine="540"/>
        <w:jc w:val="both"/>
      </w:pPr>
      <w:r>
        <w:rPr>
          <w:sz w:val="24"/>
        </w:rPr>
        <w:t xml:space="preserve">- оптоэлектронные;</w:t>
      </w:r>
    </w:p>
    <w:p>
      <w:pPr>
        <w:pStyle w:val="0"/>
        <w:spacing w:before="240" w:lineRule="auto"/>
        <w:ind w:firstLine="540"/>
        <w:jc w:val="both"/>
      </w:pPr>
      <w:r>
        <w:rPr>
          <w:sz w:val="24"/>
        </w:rPr>
        <w:t xml:space="preserve">- иные.</w:t>
      </w:r>
    </w:p>
    <w:bookmarkStart w:id="152" w:name="P152"/>
    <w:bookmarkEnd w:id="152"/>
    <w:p>
      <w:pPr>
        <w:pStyle w:val="0"/>
        <w:spacing w:before="240" w:lineRule="auto"/>
        <w:ind w:firstLine="540"/>
        <w:jc w:val="both"/>
      </w:pPr>
      <w:r>
        <w:rPr>
          <w:sz w:val="24"/>
        </w:rPr>
        <w:t xml:space="preserve">4.1.6 По назначению ОП подразделяют на предназначенные для информирования:</w:t>
      </w:r>
    </w:p>
    <w:p>
      <w:pPr>
        <w:pStyle w:val="0"/>
        <w:spacing w:before="240" w:lineRule="auto"/>
        <w:ind w:firstLine="540"/>
        <w:jc w:val="both"/>
      </w:pPr>
      <w:r>
        <w:rPr>
          <w:sz w:val="24"/>
        </w:rPr>
        <w:t xml:space="preserve">- о пожаре и/или путях эвакуации;</w:t>
      </w:r>
    </w:p>
    <w:p>
      <w:pPr>
        <w:pStyle w:val="0"/>
        <w:spacing w:before="240" w:lineRule="auto"/>
        <w:ind w:firstLine="540"/>
        <w:jc w:val="both"/>
      </w:pPr>
      <w:r>
        <w:rPr>
          <w:sz w:val="24"/>
        </w:rPr>
        <w:t xml:space="preserve">- режимах работы систем противопожарной защиты и/или событиях, связанных с алгоритмом функционирования системы (например, пожарный оповещатель "Автоматика отключена", "Газ - уходи" и т.п.).</w:t>
      </w:r>
    </w:p>
    <w:p>
      <w:pPr>
        <w:pStyle w:val="0"/>
        <w:ind w:firstLine="540"/>
        <w:jc w:val="both"/>
      </w:pPr>
      <w:r>
        <w:rPr>
          <w:sz w:val="24"/>
        </w:rPr>
      </w:r>
    </w:p>
    <w:p>
      <w:pPr>
        <w:pStyle w:val="0"/>
        <w:ind w:firstLine="540"/>
        <w:jc w:val="both"/>
      </w:pPr>
      <w:r>
        <w:rPr>
          <w:sz w:val="24"/>
          <w:b w:val="on"/>
        </w:rPr>
        <w:t xml:space="preserve">4.2 Классификация ОПР</w:t>
      </w:r>
    </w:p>
    <w:p>
      <w:pPr>
        <w:pStyle w:val="0"/>
        <w:ind w:firstLine="540"/>
        <w:jc w:val="both"/>
      </w:pPr>
      <w:r>
        <w:rPr>
          <w:sz w:val="24"/>
        </w:rPr>
      </w:r>
    </w:p>
    <w:p>
      <w:pPr>
        <w:pStyle w:val="0"/>
        <w:ind w:firstLine="540"/>
        <w:jc w:val="both"/>
      </w:pPr>
      <w:r>
        <w:rPr>
          <w:sz w:val="24"/>
        </w:rPr>
        <w:t xml:space="preserve">ОПР подразделяют:</w:t>
      </w:r>
    </w:p>
    <w:p>
      <w:pPr>
        <w:pStyle w:val="0"/>
        <w:spacing w:before="240" w:lineRule="auto"/>
        <w:ind w:firstLine="540"/>
        <w:jc w:val="both"/>
      </w:pPr>
      <w:r>
        <w:rPr>
          <w:sz w:val="24"/>
        </w:rPr>
        <w:t xml:space="preserve">- на активные (со встроенным усилителем звукового сигнала);</w:t>
      </w:r>
    </w:p>
    <w:p>
      <w:pPr>
        <w:pStyle w:val="0"/>
        <w:spacing w:before="240" w:lineRule="auto"/>
        <w:ind w:firstLine="540"/>
        <w:jc w:val="both"/>
      </w:pPr>
      <w:r>
        <w:rPr>
          <w:sz w:val="24"/>
        </w:rPr>
        <w:t xml:space="preserve">- пассивные (без усилителя и иных активных элементов).</w:t>
      </w:r>
    </w:p>
    <w:p>
      <w:pPr>
        <w:pStyle w:val="0"/>
        <w:ind w:firstLine="540"/>
        <w:jc w:val="both"/>
      </w:pPr>
      <w:r>
        <w:rPr>
          <w:sz w:val="24"/>
        </w:rPr>
      </w:r>
    </w:p>
    <w:p>
      <w:pPr>
        <w:pStyle w:val="0"/>
        <w:ind w:firstLine="540"/>
        <w:jc w:val="both"/>
      </w:pPr>
      <w:r>
        <w:rPr>
          <w:sz w:val="24"/>
          <w:b w:val="on"/>
        </w:rPr>
        <w:t xml:space="preserve">4.3 Классификация ОПИ</w:t>
      </w:r>
    </w:p>
    <w:p>
      <w:pPr>
        <w:pStyle w:val="0"/>
        <w:ind w:firstLine="540"/>
        <w:jc w:val="both"/>
      </w:pPr>
      <w:r>
        <w:rPr>
          <w:sz w:val="24"/>
        </w:rPr>
      </w:r>
    </w:p>
    <w:p>
      <w:pPr>
        <w:pStyle w:val="0"/>
        <w:ind w:firstLine="540"/>
        <w:jc w:val="both"/>
      </w:pPr>
      <w:r>
        <w:rPr>
          <w:sz w:val="24"/>
        </w:rPr>
        <w:t xml:space="preserve">По возможности восстановления своих характеристик ОПИ подразделяют:</w:t>
      </w:r>
    </w:p>
    <w:p>
      <w:pPr>
        <w:pStyle w:val="0"/>
        <w:spacing w:before="240" w:lineRule="auto"/>
        <w:ind w:firstLine="540"/>
        <w:jc w:val="both"/>
      </w:pPr>
      <w:r>
        <w:rPr>
          <w:sz w:val="24"/>
        </w:rPr>
        <w:t xml:space="preserve">- на ОПИ одноразового применения;</w:t>
      </w:r>
    </w:p>
    <w:p>
      <w:pPr>
        <w:pStyle w:val="0"/>
        <w:spacing w:before="240" w:lineRule="auto"/>
        <w:ind w:firstLine="540"/>
        <w:jc w:val="both"/>
      </w:pPr>
      <w:r>
        <w:rPr>
          <w:sz w:val="24"/>
        </w:rPr>
        <w:t xml:space="preserve">- ОПИ многоразового применения.</w:t>
      </w:r>
    </w:p>
    <w:p>
      <w:pPr>
        <w:pStyle w:val="0"/>
        <w:ind w:firstLine="540"/>
        <w:jc w:val="both"/>
      </w:pPr>
      <w:r>
        <w:rPr>
          <w:sz w:val="24"/>
        </w:rPr>
      </w:r>
    </w:p>
    <w:p>
      <w:pPr>
        <w:pStyle w:val="2"/>
        <w:outlineLvl w:val="1"/>
        <w:ind w:firstLine="540"/>
        <w:jc w:val="both"/>
      </w:pPr>
      <w:r>
        <w:rPr>
          <w:sz w:val="24"/>
          <w:b w:val="on"/>
        </w:rPr>
        <w:t xml:space="preserve">5 Общие технические требования</w:t>
      </w:r>
    </w:p>
    <w:p>
      <w:pPr>
        <w:pStyle w:val="0"/>
        <w:ind w:firstLine="540"/>
        <w:jc w:val="both"/>
      </w:pPr>
      <w:r>
        <w:rPr>
          <w:sz w:val="24"/>
        </w:rPr>
      </w:r>
    </w:p>
    <w:p>
      <w:pPr>
        <w:pStyle w:val="2"/>
        <w:outlineLvl w:val="2"/>
        <w:ind w:firstLine="540"/>
        <w:jc w:val="both"/>
      </w:pPr>
      <w:r>
        <w:rPr>
          <w:sz w:val="24"/>
          <w:b w:val="on"/>
        </w:rPr>
        <w:t xml:space="preserve">5.1 Требования назначения</w:t>
      </w:r>
    </w:p>
    <w:p>
      <w:pPr>
        <w:pStyle w:val="0"/>
        <w:ind w:firstLine="540"/>
        <w:jc w:val="both"/>
      </w:pPr>
      <w:r>
        <w:rPr>
          <w:sz w:val="24"/>
        </w:rPr>
      </w:r>
    </w:p>
    <w:bookmarkStart w:id="172" w:name="P172"/>
    <w:bookmarkEnd w:id="172"/>
    <w:p>
      <w:pPr>
        <w:pStyle w:val="0"/>
        <w:ind w:firstLine="540"/>
        <w:jc w:val="both"/>
      </w:pPr>
      <w:r>
        <w:rPr>
          <w:sz w:val="24"/>
        </w:rPr>
        <w:t xml:space="preserve">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w:t>
      </w:r>
    </w:p>
    <w:p>
      <w:pPr>
        <w:pStyle w:val="0"/>
        <w:spacing w:before="240" w:lineRule="auto"/>
        <w:ind w:firstLine="540"/>
        <w:jc w:val="both"/>
      </w:pPr>
      <w:r>
        <w:rPr>
          <w:sz w:val="24"/>
        </w:rPr>
        <w:t xml:space="preserve">5.1.2 ОП, взаимодействующие с ППУ-ТСО или иными приборами, должны обеспечивать информационную и электрическую совместимость с ними.</w:t>
      </w:r>
    </w:p>
    <w:p>
      <w:pPr>
        <w:pStyle w:val="0"/>
        <w:spacing w:before="240" w:lineRule="auto"/>
        <w:ind w:firstLine="540"/>
        <w:jc w:val="both"/>
      </w:pPr>
      <w:r>
        <w:rPr>
          <w:sz w:val="24"/>
        </w:rPr>
        <w:t xml:space="preserve">5.1.3 ОП (кроме ОПИ одноразового применения) должны быть восстанавливаемыми изделиями, обеспечивающими проверку на каждом образце всех нормируемых технических характеристик при периодических, приемо-сдаточных испытаниях и испытаниях других видов, а также проверку работоспособности в процессе эксплуатации.</w:t>
      </w:r>
    </w:p>
    <w:p>
      <w:pPr>
        <w:pStyle w:val="0"/>
        <w:spacing w:before="240" w:lineRule="auto"/>
        <w:ind w:firstLine="540"/>
        <w:jc w:val="both"/>
      </w:pPr>
      <w:r>
        <w:rPr>
          <w:sz w:val="24"/>
        </w:rPr>
        <w:t xml:space="preserve">5.1.4 Электрические характеристики ОП (напряжение, токи дежурного режима, режимов "Пожар", "Неисправность") должны быть установлены в технической документации (ТД) на ОП конкретных типов.</w:t>
      </w:r>
    </w:p>
    <w:bookmarkStart w:id="176" w:name="P176"/>
    <w:bookmarkEnd w:id="176"/>
    <w:p>
      <w:pPr>
        <w:pStyle w:val="0"/>
        <w:spacing w:before="240" w:lineRule="auto"/>
        <w:ind w:firstLine="540"/>
        <w:jc w:val="both"/>
      </w:pPr>
      <w:r>
        <w:rPr>
          <w:sz w:val="24"/>
        </w:rPr>
        <w:t xml:space="preserve">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w:t>
      </w:r>
    </w:p>
    <w:p>
      <w:pPr>
        <w:pStyle w:val="0"/>
        <w:spacing w:before="240" w:lineRule="auto"/>
        <w:ind w:firstLine="540"/>
        <w:jc w:val="both"/>
      </w:pPr>
      <w:r>
        <w:rPr>
          <w:sz w:val="24"/>
        </w:rPr>
        <w:t xml:space="preserve">Уровень звукового давления звуковых ОПИ, воздействующий на человека, должен обеспечивать возможность восприятия им тревожного сигнала с учетом физических особенностей индивидуума и быть установлен в ТД на ОПИ конкретных типов, но не более 110 дБ.</w:t>
      </w:r>
    </w:p>
    <w:bookmarkStart w:id="178" w:name="P178"/>
    <w:bookmarkEnd w:id="178"/>
    <w:p>
      <w:pPr>
        <w:pStyle w:val="0"/>
        <w:spacing w:before="240" w:lineRule="auto"/>
        <w:ind w:firstLine="540"/>
        <w:jc w:val="both"/>
      </w:pPr>
      <w:r>
        <w:rPr>
          <w:sz w:val="24"/>
        </w:rPr>
        <w:t xml:space="preserve">5.1.6 Частота генерируемых ОПЗ сигналов должна быть в пределах полосы от 200 до 5000 Гц. В технически обоснованных случаях допускается расширение предела до 10 000 Гц. Частотная характеристика сигналов должна быть установлена в ТД на ОПЗ конкретных типов.</w:t>
      </w:r>
    </w:p>
    <w:p>
      <w:pPr>
        <w:pStyle w:val="0"/>
        <w:spacing w:before="240" w:lineRule="auto"/>
        <w:ind w:firstLine="540"/>
        <w:jc w:val="both"/>
      </w:pPr>
      <w:r>
        <w:rPr>
          <w:sz w:val="24"/>
        </w:rPr>
        <w:t xml:space="preserve">Примечание - Увеличение частоты генерируемого сигнала свыше 5000 до 10 000 Гц обосновано для ОПЗ, предназначенных для применения в условиях повышенного уровня звука (шумные цеха производств, морской транспорт, строительные объекты и т.д).</w:t>
      </w:r>
    </w:p>
    <w:p>
      <w:pPr>
        <w:pStyle w:val="0"/>
        <w:ind w:firstLine="540"/>
        <w:jc w:val="both"/>
      </w:pPr>
      <w:r>
        <w:rPr>
          <w:sz w:val="24"/>
        </w:rPr>
      </w:r>
    </w:p>
    <w:bookmarkStart w:id="181" w:name="P181"/>
    <w:bookmarkEnd w:id="181"/>
    <w:p>
      <w:pPr>
        <w:pStyle w:val="0"/>
        <w:ind w:firstLine="540"/>
        <w:jc w:val="both"/>
      </w:pPr>
      <w:r>
        <w:rPr>
          <w:sz w:val="24"/>
        </w:rPr>
        <w:t xml:space="preserve">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w:t>
      </w:r>
      <w:hyperlink w:history="0" r:id="rId33" w:tooltip="&quo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quot; (введен в действие Приказом Росстандарта от 10.06.2016 N 614-ст) (ред. от 29.11.2018) {КонсультантПлюс}">
        <w:r>
          <w:rPr>
            <w:sz w:val="24"/>
            <w:color w:val="0000ff"/>
          </w:rPr>
          <w:t xml:space="preserve">ГОСТ 12.4.026</w:t>
        </w:r>
      </w:hyperlink>
      <w:r>
        <w:rPr>
          <w:sz w:val="24"/>
        </w:rPr>
        <w:t xml:space="preserve">. Значение дистанционного фактора </w:t>
      </w:r>
      <w:r>
        <w:rPr>
          <w:sz w:val="24"/>
          <w:i w:val="on"/>
        </w:rPr>
        <w:t xml:space="preserve">Z</w:t>
      </w:r>
      <w:r>
        <w:rPr>
          <w:sz w:val="24"/>
        </w:rPr>
        <w:t xml:space="preserve"> принимают не более 100.</w:t>
      </w:r>
    </w:p>
    <w:p>
      <w:pPr>
        <w:pStyle w:val="0"/>
        <w:spacing w:before="240" w:lineRule="auto"/>
        <w:ind w:firstLine="540"/>
        <w:jc w:val="both"/>
      </w:pPr>
      <w:r>
        <w:rPr>
          <w:sz w:val="24"/>
        </w:rPr>
        <w:t xml:space="preserve">Расстояние распознавания должно быть указано в ТД на ОПС конкретных типов.</w:t>
      </w:r>
    </w:p>
    <w:bookmarkStart w:id="183" w:name="P183"/>
    <w:bookmarkEnd w:id="183"/>
    <w:p>
      <w:pPr>
        <w:pStyle w:val="0"/>
        <w:spacing w:before="240" w:lineRule="auto"/>
        <w:ind w:firstLine="540"/>
        <w:jc w:val="both"/>
      </w:pPr>
      <w:r>
        <w:rPr>
          <w:sz w:val="24"/>
        </w:rPr>
        <w:t xml:space="preserve">5.1.8 Цвета ОПС и отображаемых на них информационных знаков должны быть следующими:</w:t>
      </w:r>
    </w:p>
    <w:p>
      <w:pPr>
        <w:pStyle w:val="0"/>
        <w:spacing w:before="240" w:lineRule="auto"/>
        <w:ind w:firstLine="540"/>
        <w:jc w:val="both"/>
      </w:pPr>
      <w:r>
        <w:rPr>
          <w:sz w:val="24"/>
        </w:rPr>
        <w:t xml:space="preserve">- зеленый на белом фоне или белый на зеленом фоне - для ОПС, предназначенных для информирования о путях эвакуации;</w:t>
      </w:r>
    </w:p>
    <w:p>
      <w:pPr>
        <w:pStyle w:val="0"/>
        <w:spacing w:before="240" w:lineRule="auto"/>
        <w:ind w:firstLine="540"/>
        <w:jc w:val="both"/>
      </w:pPr>
      <w:r>
        <w:rPr>
          <w:sz w:val="24"/>
        </w:rPr>
        <w:t xml:space="preserve">- желтый на черном фоне или черный на желтом фоне - для ОПС, предназначенных для информирования о режимах работы систем противопожарной защиты, кроме тревожных режимов ("Пожар", "Пуск пожаротушения" и т.п.);</w:t>
      </w:r>
    </w:p>
    <w:p>
      <w:pPr>
        <w:pStyle w:val="0"/>
        <w:spacing w:before="240" w:lineRule="auto"/>
        <w:ind w:firstLine="540"/>
        <w:jc w:val="both"/>
      </w:pPr>
      <w:r>
        <w:rPr>
          <w:sz w:val="24"/>
        </w:rPr>
        <w:t xml:space="preserve">- красный на белом фоне или белый на красном фоне - для всех остальных ОПС.</w:t>
      </w:r>
    </w:p>
    <w:p>
      <w:pPr>
        <w:pStyle w:val="0"/>
        <w:spacing w:before="240" w:lineRule="auto"/>
        <w:ind w:firstLine="540"/>
        <w:jc w:val="both"/>
      </w:pPr>
      <w:r>
        <w:rPr>
          <w:sz w:val="24"/>
        </w:rPr>
        <w:t xml:space="preserve">ОПС должны быть выполнены с учетом однозначной идентификации режима их работы (дежурный режим - режим "Пожар"), а ОПС, несущие текстовую и/или символьную информацию, - обеспечивать контрастное восприятие данной информации при освещенности ОПС в диапазоне значений, установленном в ТД на ОПС конкретных типов, но не уже, чем от 1 до 500 лк.</w:t>
      </w:r>
    </w:p>
    <w:p>
      <w:pPr>
        <w:pStyle w:val="0"/>
        <w:spacing w:before="240" w:lineRule="auto"/>
        <w:ind w:firstLine="540"/>
        <w:jc w:val="both"/>
      </w:pPr>
      <w:r>
        <w:rPr>
          <w:sz w:val="24"/>
        </w:rPr>
        <w:t xml:space="preserve">Содержание надписей (символов) на ОПС устанавливают в ТД на ОПС конкретных типов.</w:t>
      </w:r>
    </w:p>
    <w:bookmarkStart w:id="189" w:name="P189"/>
    <w:bookmarkEnd w:id="189"/>
    <w:p>
      <w:pPr>
        <w:pStyle w:val="0"/>
        <w:spacing w:before="240" w:lineRule="auto"/>
        <w:ind w:firstLine="540"/>
        <w:jc w:val="both"/>
      </w:pPr>
      <w:r>
        <w:rPr>
          <w:sz w:val="24"/>
        </w:rPr>
        <w:t xml:space="preserve">5.1.9 Мигающий ОПС должен иметь частоту мигания в диапазоне от 0,5 до 2,0 Гц. Частота мигания должна быть указана в ТД на ОПС конкретных типов.</w:t>
      </w:r>
    </w:p>
    <w:p>
      <w:pPr>
        <w:pStyle w:val="0"/>
        <w:spacing w:before="240" w:lineRule="auto"/>
        <w:ind w:firstLine="540"/>
        <w:jc w:val="both"/>
      </w:pPr>
      <w:r>
        <w:rPr>
          <w:sz w:val="24"/>
        </w:rPr>
        <w:t xml:space="preserve">5.1.10 ОПР должны обеспечивать передачу сообщения о возникновении пожара и инструкции по эвакуации. Текст сообщения может быть дополнен звуковым сопровождением. При этом речевая и звуковая информация может быть записана в энергонезависимую память ОПР либо поступать на его вход.</w:t>
      </w:r>
    </w:p>
    <w:bookmarkStart w:id="191" w:name="P191"/>
    <w:bookmarkEnd w:id="191"/>
    <w:p>
      <w:pPr>
        <w:pStyle w:val="0"/>
        <w:spacing w:before="240" w:lineRule="auto"/>
        <w:ind w:firstLine="540"/>
        <w:jc w:val="both"/>
      </w:pPr>
      <w:r>
        <w:rPr>
          <w:sz w:val="24"/>
        </w:rPr>
        <w:t xml:space="preserve">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w:t>
      </w:r>
    </w:p>
    <w:p>
      <w:pPr>
        <w:pStyle w:val="0"/>
        <w:spacing w:before="240" w:lineRule="auto"/>
        <w:ind w:firstLine="540"/>
        <w:jc w:val="both"/>
      </w:pPr>
      <w:r>
        <w:rPr>
          <w:sz w:val="24"/>
        </w:rPr>
        <w:t xml:space="preserve">Уровень звукового давления речевых ОПИ, воздействующий на человека, должен обеспечивать возможность разборчивого и однозначного восприятия им речевого сигнала с учетом физических особенностей индивидуума и быть установлен в ТД на ОПИ конкретных типов, но не более 110 дБ.</w:t>
      </w:r>
    </w:p>
    <w:bookmarkStart w:id="193" w:name="P193"/>
    <w:bookmarkEnd w:id="193"/>
    <w:p>
      <w:pPr>
        <w:pStyle w:val="0"/>
        <w:spacing w:before="240" w:lineRule="auto"/>
        <w:ind w:firstLine="540"/>
        <w:jc w:val="both"/>
      </w:pPr>
      <w:r>
        <w:rPr>
          <w:sz w:val="24"/>
        </w:rPr>
        <w:t xml:space="preserve">5.1.12 Диапазон воспроизводимых частот должен быть указан в ТД на ОПР конкретных типов, но не уже, чем от 500 до 3500 Гц при неравномерности амплитудно-частотной характеристики в диапазоне не более 16 дБ.</w:t>
      </w:r>
    </w:p>
    <w:bookmarkStart w:id="194" w:name="P194"/>
    <w:bookmarkEnd w:id="194"/>
    <w:p>
      <w:pPr>
        <w:pStyle w:val="0"/>
        <w:spacing w:before="240" w:lineRule="auto"/>
        <w:ind w:firstLine="540"/>
        <w:jc w:val="both"/>
      </w:pPr>
      <w:r>
        <w:rPr>
          <w:sz w:val="24"/>
        </w:rPr>
        <w:t xml:space="preserve">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w:t>
      </w:r>
    </w:p>
    <w:p>
      <w:pPr>
        <w:pStyle w:val="0"/>
        <w:spacing w:before="240" w:lineRule="auto"/>
        <w:ind w:firstLine="540"/>
        <w:jc w:val="both"/>
      </w:pPr>
      <w:r>
        <w:rPr>
          <w:sz w:val="24"/>
        </w:rPr>
        <w:t xml:space="preserve">5.1.14 Частота вибрации вибрационных ОПИ должна быть от 5 до 50 Гц и приведена в ТД на вибрационные ОПИ конкретных типов в указанном диапазоне.</w:t>
      </w:r>
    </w:p>
    <w:p>
      <w:pPr>
        <w:pStyle w:val="0"/>
        <w:spacing w:before="240" w:lineRule="auto"/>
        <w:ind w:firstLine="540"/>
        <w:jc w:val="both"/>
      </w:pPr>
      <w:r>
        <w:rPr>
          <w:sz w:val="24"/>
        </w:rPr>
        <w:t xml:space="preserve">Примечание - Не рекомендуется использовать частоты в диапазоне от 17 до 25 Гц (резонанс головы).</w:t>
      </w:r>
    </w:p>
    <w:p>
      <w:pPr>
        <w:pStyle w:val="0"/>
        <w:ind w:firstLine="540"/>
        <w:jc w:val="both"/>
      </w:pPr>
      <w:r>
        <w:rPr>
          <w:sz w:val="24"/>
        </w:rPr>
      </w:r>
    </w:p>
    <w:bookmarkStart w:id="198" w:name="P198"/>
    <w:bookmarkEnd w:id="198"/>
    <w:p>
      <w:pPr>
        <w:pStyle w:val="0"/>
        <w:ind w:firstLine="540"/>
        <w:jc w:val="both"/>
      </w:pPr>
      <w:r>
        <w:rPr>
          <w:sz w:val="24"/>
        </w:rPr>
        <w:t xml:space="preserve">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w:t>
      </w:r>
    </w:p>
    <w:p>
      <w:pPr>
        <w:pStyle w:val="0"/>
        <w:ind w:firstLine="540"/>
        <w:jc w:val="both"/>
      </w:pPr>
      <w:r>
        <w:rPr>
          <w:sz w:val="24"/>
        </w:rPr>
      </w:r>
    </w:p>
    <w:p>
      <w:pPr>
        <w:pStyle w:val="0"/>
        <w:jc w:val="right"/>
      </w:pPr>
      <w:r>
        <w:rPr>
          <w:sz w:val="24"/>
        </w:rPr>
        <w:t xml:space="preserve">Таблица 5.1</w:t>
      </w:r>
    </w:p>
    <w:p>
      <w:pPr>
        <w:pStyle w:val="0"/>
        <w:ind w:firstLine="540"/>
        <w:jc w:val="both"/>
      </w:pPr>
      <w:r>
        <w:rPr>
          <w:sz w:val="24"/>
        </w:rPr>
      </w:r>
    </w:p>
    <w:p>
      <w:pPr>
        <w:pStyle w:val="0"/>
        <w:jc w:val="center"/>
      </w:pPr>
      <w:r>
        <w:rPr>
          <w:sz w:val="24"/>
        </w:rPr>
        <w:t xml:space="preserve">Допустимые значения электротоковых воздействий</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2494"/>
        <w:gridCol w:w="2211"/>
        <w:gridCol w:w="2211"/>
      </w:tblGrid>
      <w:tr>
        <w:tc>
          <w:tcPr>
            <w:tcW w:w="2154" w:type="dxa"/>
            <w:vAlign w:val="center"/>
          </w:tcPr>
          <w:p>
            <w:pPr>
              <w:pStyle w:val="0"/>
              <w:jc w:val="center"/>
            </w:pPr>
            <w:r>
              <w:rPr>
                <w:sz w:val="24"/>
              </w:rPr>
              <w:t xml:space="preserve">Вид тока</w:t>
            </w:r>
          </w:p>
        </w:tc>
        <w:tc>
          <w:tcPr>
            <w:tcW w:w="2494" w:type="dxa"/>
            <w:vAlign w:val="center"/>
          </w:tcPr>
          <w:p>
            <w:pPr>
              <w:pStyle w:val="0"/>
              <w:jc w:val="center"/>
            </w:pPr>
            <w:r>
              <w:rPr>
                <w:sz w:val="24"/>
              </w:rPr>
              <w:t xml:space="preserve">Время воздействия, с</w:t>
            </w:r>
          </w:p>
        </w:tc>
        <w:tc>
          <w:tcPr>
            <w:tcW w:w="2211" w:type="dxa"/>
            <w:vAlign w:val="center"/>
          </w:tcPr>
          <w:p>
            <w:pPr>
              <w:pStyle w:val="0"/>
              <w:jc w:val="center"/>
            </w:pPr>
            <w:r>
              <w:rPr>
                <w:sz w:val="24"/>
              </w:rPr>
              <w:t xml:space="preserve">Напряжение прикосновения, В</w:t>
            </w:r>
          </w:p>
        </w:tc>
        <w:tc>
          <w:tcPr>
            <w:tcW w:w="2211" w:type="dxa"/>
            <w:vAlign w:val="center"/>
          </w:tcPr>
          <w:p>
            <w:pPr>
              <w:pStyle w:val="0"/>
              <w:jc w:val="center"/>
            </w:pPr>
            <w:r>
              <w:rPr>
                <w:sz w:val="24"/>
              </w:rPr>
              <w:t xml:space="preserve">Величина тока, мА</w:t>
            </w:r>
          </w:p>
        </w:tc>
      </w:tr>
      <w:tr>
        <w:tc>
          <w:tcPr>
            <w:tcW w:w="2154" w:type="dxa"/>
            <w:vAlign w:val="center"/>
            <w:vMerge w:val="restart"/>
          </w:tcPr>
          <w:p>
            <w:pPr>
              <w:pStyle w:val="0"/>
            </w:pPr>
            <w:r>
              <w:rPr>
                <w:sz w:val="24"/>
              </w:rPr>
              <w:t xml:space="preserve">Переменный ток</w:t>
            </w:r>
          </w:p>
        </w:tc>
        <w:tc>
          <w:tcPr>
            <w:tcW w:w="2494" w:type="dxa"/>
          </w:tcPr>
          <w:p>
            <w:pPr>
              <w:pStyle w:val="0"/>
              <w:jc w:val="center"/>
            </w:pPr>
            <w:r>
              <w:rPr>
                <w:sz w:val="24"/>
              </w:rPr>
              <w:t xml:space="preserve">0,1</w:t>
            </w:r>
          </w:p>
        </w:tc>
        <w:tc>
          <w:tcPr>
            <w:tcW w:w="2211" w:type="dxa"/>
          </w:tcPr>
          <w:p>
            <w:pPr>
              <w:pStyle w:val="0"/>
              <w:jc w:val="center"/>
            </w:pPr>
            <w:r>
              <w:rPr>
                <w:sz w:val="24"/>
              </w:rPr>
              <w:t xml:space="preserve">500</w:t>
            </w:r>
          </w:p>
        </w:tc>
        <w:tc>
          <w:tcPr>
            <w:tcW w:w="2211" w:type="dxa"/>
          </w:tcPr>
          <w:p>
            <w:pPr>
              <w:pStyle w:val="0"/>
              <w:jc w:val="center"/>
            </w:pPr>
            <w:r>
              <w:rPr>
                <w:sz w:val="24"/>
              </w:rPr>
              <w:t xml:space="preserve">500</w:t>
            </w:r>
          </w:p>
        </w:tc>
      </w:tr>
      <w:tr>
        <w:tc>
          <w:tcPr>
            <w:vMerge w:val="continue"/>
          </w:tcPr>
          <w:p/>
        </w:tc>
        <w:tc>
          <w:tcPr>
            <w:tcW w:w="2494" w:type="dxa"/>
          </w:tcPr>
          <w:p>
            <w:pPr>
              <w:pStyle w:val="0"/>
              <w:jc w:val="center"/>
            </w:pPr>
            <w:r>
              <w:rPr>
                <w:sz w:val="24"/>
              </w:rPr>
              <w:t xml:space="preserve">1,0</w:t>
            </w:r>
          </w:p>
        </w:tc>
        <w:tc>
          <w:tcPr>
            <w:tcW w:w="2211" w:type="dxa"/>
          </w:tcPr>
          <w:p>
            <w:pPr>
              <w:pStyle w:val="0"/>
              <w:jc w:val="center"/>
            </w:pPr>
            <w:r>
              <w:rPr>
                <w:sz w:val="24"/>
              </w:rPr>
              <w:t xml:space="preserve">50</w:t>
            </w:r>
          </w:p>
        </w:tc>
        <w:tc>
          <w:tcPr>
            <w:tcW w:w="2211" w:type="dxa"/>
          </w:tcPr>
          <w:p>
            <w:pPr>
              <w:pStyle w:val="0"/>
              <w:jc w:val="center"/>
            </w:pPr>
            <w:r>
              <w:rPr>
                <w:sz w:val="24"/>
              </w:rPr>
              <w:t xml:space="preserve">50</w:t>
            </w:r>
          </w:p>
        </w:tc>
      </w:tr>
      <w:tr>
        <w:tc>
          <w:tcPr>
            <w:vMerge w:val="continue"/>
          </w:tcPr>
          <w:p/>
        </w:tc>
        <w:tc>
          <w:tcPr>
            <w:tcW w:w="2494" w:type="dxa"/>
          </w:tcPr>
          <w:p>
            <w:pPr>
              <w:pStyle w:val="0"/>
              <w:jc w:val="center"/>
            </w:pPr>
            <w:r>
              <w:rPr>
                <w:sz w:val="24"/>
              </w:rPr>
              <w:t xml:space="preserve">3,0</w:t>
            </w:r>
          </w:p>
        </w:tc>
        <w:tc>
          <w:tcPr>
            <w:tcW w:w="2211" w:type="dxa"/>
          </w:tcPr>
          <w:p>
            <w:pPr>
              <w:pStyle w:val="0"/>
              <w:jc w:val="center"/>
            </w:pPr>
            <w:r>
              <w:rPr>
                <w:sz w:val="24"/>
              </w:rPr>
              <w:t xml:space="preserve">36</w:t>
            </w:r>
          </w:p>
        </w:tc>
        <w:tc>
          <w:tcPr>
            <w:tcW w:w="2211" w:type="dxa"/>
          </w:tcPr>
          <w:p>
            <w:pPr>
              <w:pStyle w:val="0"/>
              <w:jc w:val="center"/>
            </w:pPr>
            <w:r>
              <w:rPr>
                <w:sz w:val="24"/>
              </w:rPr>
              <w:t xml:space="preserve">6</w:t>
            </w:r>
          </w:p>
        </w:tc>
      </w:tr>
      <w:tr>
        <w:tc>
          <w:tcPr>
            <w:tcW w:w="2154" w:type="dxa"/>
            <w:vAlign w:val="center"/>
            <w:vMerge w:val="restart"/>
          </w:tcPr>
          <w:p>
            <w:pPr>
              <w:pStyle w:val="0"/>
            </w:pPr>
            <w:r>
              <w:rPr>
                <w:sz w:val="24"/>
              </w:rPr>
              <w:t xml:space="preserve">Постоянный ток</w:t>
            </w:r>
          </w:p>
        </w:tc>
        <w:tc>
          <w:tcPr>
            <w:tcW w:w="2494" w:type="dxa"/>
          </w:tcPr>
          <w:p>
            <w:pPr>
              <w:pStyle w:val="0"/>
              <w:jc w:val="center"/>
            </w:pPr>
            <w:r>
              <w:rPr>
                <w:sz w:val="24"/>
              </w:rPr>
              <w:t xml:space="preserve">0,1</w:t>
            </w:r>
          </w:p>
        </w:tc>
        <w:tc>
          <w:tcPr>
            <w:tcW w:w="2211" w:type="dxa"/>
          </w:tcPr>
          <w:p>
            <w:pPr>
              <w:pStyle w:val="0"/>
              <w:jc w:val="center"/>
            </w:pPr>
            <w:r>
              <w:rPr>
                <w:sz w:val="24"/>
              </w:rPr>
              <w:t xml:space="preserve">500</w:t>
            </w:r>
          </w:p>
        </w:tc>
        <w:tc>
          <w:tcPr>
            <w:tcW w:w="2211" w:type="dxa"/>
          </w:tcPr>
          <w:p>
            <w:pPr>
              <w:pStyle w:val="0"/>
              <w:jc w:val="center"/>
            </w:pPr>
            <w:r>
              <w:rPr>
                <w:sz w:val="24"/>
              </w:rPr>
              <w:t xml:space="preserve">500</w:t>
            </w:r>
          </w:p>
        </w:tc>
      </w:tr>
      <w:tr>
        <w:tc>
          <w:tcPr>
            <w:vMerge w:val="continue"/>
          </w:tcPr>
          <w:p/>
        </w:tc>
        <w:tc>
          <w:tcPr>
            <w:tcW w:w="2494" w:type="dxa"/>
          </w:tcPr>
          <w:p>
            <w:pPr>
              <w:pStyle w:val="0"/>
              <w:jc w:val="center"/>
            </w:pPr>
            <w:r>
              <w:rPr>
                <w:sz w:val="24"/>
              </w:rPr>
              <w:t xml:space="preserve">1,0</w:t>
            </w:r>
          </w:p>
        </w:tc>
        <w:tc>
          <w:tcPr>
            <w:tcW w:w="2211" w:type="dxa"/>
          </w:tcPr>
          <w:p>
            <w:pPr>
              <w:pStyle w:val="0"/>
              <w:jc w:val="center"/>
            </w:pPr>
            <w:r>
              <w:rPr>
                <w:sz w:val="24"/>
              </w:rPr>
              <w:t xml:space="preserve">150</w:t>
            </w:r>
          </w:p>
        </w:tc>
        <w:tc>
          <w:tcPr>
            <w:tcW w:w="2211" w:type="dxa"/>
          </w:tcPr>
          <w:p>
            <w:pPr>
              <w:pStyle w:val="0"/>
              <w:jc w:val="center"/>
            </w:pPr>
            <w:r>
              <w:rPr>
                <w:sz w:val="24"/>
              </w:rPr>
              <w:t xml:space="preserve">150</w:t>
            </w:r>
          </w:p>
        </w:tc>
      </w:tr>
      <w:tr>
        <w:tc>
          <w:tcPr>
            <w:vMerge w:val="continue"/>
          </w:tcPr>
          <w:p/>
        </w:tc>
        <w:tc>
          <w:tcPr>
            <w:tcW w:w="2494" w:type="dxa"/>
          </w:tcPr>
          <w:p>
            <w:pPr>
              <w:pStyle w:val="0"/>
              <w:jc w:val="center"/>
            </w:pPr>
            <w:r>
              <w:rPr>
                <w:sz w:val="24"/>
              </w:rPr>
              <w:t xml:space="preserve">3,0</w:t>
            </w:r>
          </w:p>
        </w:tc>
        <w:tc>
          <w:tcPr>
            <w:tcW w:w="2211" w:type="dxa"/>
          </w:tcPr>
          <w:p>
            <w:pPr>
              <w:pStyle w:val="0"/>
              <w:jc w:val="center"/>
            </w:pPr>
            <w:r>
              <w:rPr>
                <w:sz w:val="24"/>
              </w:rPr>
              <w:t xml:space="preserve">100</w:t>
            </w:r>
          </w:p>
        </w:tc>
        <w:tc>
          <w:tcPr>
            <w:tcW w:w="2211" w:type="dxa"/>
          </w:tcPr>
          <w:p>
            <w:pPr>
              <w:pStyle w:val="0"/>
              <w:jc w:val="center"/>
            </w:pPr>
            <w:r>
              <w:rPr>
                <w:sz w:val="24"/>
              </w:rPr>
              <w:t xml:space="preserve">50</w:t>
            </w:r>
          </w:p>
        </w:tc>
      </w:tr>
    </w:tbl>
    <w:p>
      <w:pPr>
        <w:pStyle w:val="0"/>
        <w:ind w:firstLine="540"/>
        <w:jc w:val="both"/>
      </w:pPr>
      <w:r>
        <w:rPr>
          <w:sz w:val="24"/>
        </w:rPr>
      </w:r>
    </w:p>
    <w:p>
      <w:pPr>
        <w:pStyle w:val="0"/>
        <w:ind w:firstLine="540"/>
        <w:jc w:val="both"/>
      </w:pPr>
      <w:r>
        <w:rPr>
          <w:sz w:val="24"/>
        </w:rPr>
        <w:t xml:space="preserve">5.1.16 Предельные значения воздействий, формируемых ОПИ, не должны превышать безопасных значений в соответствии с санитарными нормами, в том числе в аварийных режимах работы.</w:t>
      </w:r>
    </w:p>
    <w:p>
      <w:pPr>
        <w:pStyle w:val="0"/>
        <w:spacing w:before="240" w:lineRule="auto"/>
        <w:ind w:firstLine="540"/>
        <w:jc w:val="both"/>
      </w:pPr>
      <w:r>
        <w:rPr>
          <w:sz w:val="24"/>
        </w:rPr>
        <w:t xml:space="preserve">5.1.17 ОПИ, предназначенные для использования в медицинских организациях и учреждениях социальной защиты, должны иметь ручное устройство подтверждения пользователем полученных сигналов оповещения. Сформированный сигнал подтверждения следует передавать в ППУ-ТСО.</w:t>
      </w:r>
    </w:p>
    <w:p>
      <w:pPr>
        <w:pStyle w:val="0"/>
        <w:spacing w:before="240" w:lineRule="auto"/>
        <w:ind w:firstLine="540"/>
        <w:jc w:val="both"/>
      </w:pPr>
      <w:r>
        <w:rPr>
          <w:sz w:val="24"/>
        </w:rPr>
        <w:t xml:space="preserve">5.1.18 ОПК должны отвечать требованиям, предъявляемым ко всем типам ОП, входящих в их состав.</w:t>
      </w:r>
    </w:p>
    <w:bookmarkStart w:id="232" w:name="P232"/>
    <w:bookmarkEnd w:id="232"/>
    <w:p>
      <w:pPr>
        <w:pStyle w:val="0"/>
        <w:spacing w:before="240" w:lineRule="auto"/>
        <w:ind w:firstLine="540"/>
        <w:jc w:val="both"/>
      </w:pPr>
      <w:r>
        <w:rPr>
          <w:sz w:val="24"/>
        </w:rPr>
        <w:t xml:space="preserve">5.1.19 ОП должны сохранять работоспособность при изменении напряжения их питания в диапазоне, установленном в ТД на ОП конкретных типов, но не менее диапазона от 0,75</w:t>
      </w:r>
      <w:r>
        <w:rPr>
          <w:sz w:val="24"/>
          <w:i w:val="on"/>
        </w:rPr>
        <w:t xml:space="preserve">U</w:t>
      </w:r>
      <w:r>
        <w:rPr>
          <w:sz w:val="24"/>
          <w:vertAlign w:val="subscript"/>
        </w:rPr>
        <w:t xml:space="preserve">ном</w:t>
      </w:r>
      <w:r>
        <w:rPr>
          <w:sz w:val="24"/>
        </w:rPr>
        <w:t xml:space="preserve"> до 1,15</w:t>
      </w:r>
      <w:r>
        <w:rPr>
          <w:sz w:val="24"/>
          <w:i w:val="on"/>
        </w:rPr>
        <w:t xml:space="preserve">U</w:t>
      </w:r>
      <w:r>
        <w:rPr>
          <w:sz w:val="24"/>
          <w:vertAlign w:val="subscript"/>
        </w:rPr>
        <w:t xml:space="preserve">ном</w:t>
      </w:r>
      <w:r>
        <w:rPr>
          <w:sz w:val="24"/>
        </w:rPr>
        <w:t xml:space="preserve">, где </w:t>
      </w:r>
      <w:r>
        <w:rPr>
          <w:sz w:val="24"/>
          <w:i w:val="on"/>
        </w:rPr>
        <w:t xml:space="preserve">U</w:t>
      </w:r>
      <w:r>
        <w:rPr>
          <w:sz w:val="24"/>
          <w:vertAlign w:val="subscript"/>
        </w:rPr>
        <w:t xml:space="preserve">ном</w:t>
      </w:r>
      <w:r>
        <w:rPr>
          <w:sz w:val="24"/>
        </w:rPr>
        <w:t xml:space="preserve"> - номинальное значение напряжения питания ОП.</w:t>
      </w:r>
    </w:p>
    <w:p>
      <w:pPr>
        <w:pStyle w:val="0"/>
        <w:spacing w:before="240" w:lineRule="auto"/>
        <w:ind w:firstLine="540"/>
        <w:jc w:val="both"/>
      </w:pPr>
      <w:r>
        <w:rPr>
          <w:sz w:val="24"/>
        </w:rPr>
        <w:t xml:space="preserve">Примечание - Требование не распространяется на ОП, питание которых осуществляется от автономного источника питания, и пассивные ОПР.</w:t>
      </w:r>
    </w:p>
    <w:p>
      <w:pPr>
        <w:pStyle w:val="0"/>
        <w:ind w:firstLine="540"/>
        <w:jc w:val="both"/>
      </w:pPr>
      <w:r>
        <w:rPr>
          <w:sz w:val="24"/>
        </w:rPr>
      </w:r>
    </w:p>
    <w:p>
      <w:pPr>
        <w:pStyle w:val="0"/>
        <w:ind w:firstLine="540"/>
        <w:jc w:val="both"/>
      </w:pPr>
      <w:r>
        <w:rPr>
          <w:sz w:val="24"/>
        </w:rPr>
        <w:t xml:space="preserve">5.1.20 Ресурс работы ОП от встроенного резервного источника питания (при его наличии) должен быть указан в ТД на оповещатели конкретных типов, но не менее 24 ч в дежурном режиме плюс 1 ч в режиме "Пожар".</w:t>
      </w:r>
    </w:p>
    <w:p>
      <w:pPr>
        <w:pStyle w:val="0"/>
        <w:spacing w:before="240" w:lineRule="auto"/>
        <w:ind w:firstLine="540"/>
        <w:jc w:val="both"/>
      </w:pPr>
      <w:r>
        <w:rPr>
          <w:sz w:val="24"/>
        </w:rPr>
        <w:t xml:space="preserve">5.1.21 ОП, взаимодействующие с ППУ-ТСО по радиоканальной линии связи (радиоканальные ОП), должны быть адресными и самотестируемыми, обеспечивать двухсторонний обмен данными, подтверждающий корректный обмен информацией с ППУ-ТСО, обеспечивать обнаружение внутренних неисправностей и передачу информации о неисправности на ППУ-ТСО.</w:t>
      </w:r>
    </w:p>
    <w:p>
      <w:pPr>
        <w:pStyle w:val="0"/>
        <w:spacing w:before="240" w:lineRule="auto"/>
        <w:ind w:firstLine="540"/>
        <w:jc w:val="both"/>
      </w:pPr>
      <w:r>
        <w:rPr>
          <w:sz w:val="24"/>
        </w:rPr>
        <w:t xml:space="preserve">5.1.22 В качестве автономных источников питания радиоканальных ОП и ОПИ могут быть использованы как перезаряжаемые (аккумуляторы), так и неперезаряжаемые источники питания. Радиоканальные ОП и ОПИ в дежурном режиме должны сохранять работоспособность от встроенного автономного источника питания не менее 36 мес (не менее 14 сут для ОПИ с питанием от перезаряжаемого источника).</w:t>
      </w:r>
    </w:p>
    <w:p>
      <w:pPr>
        <w:pStyle w:val="0"/>
        <w:spacing w:before="240" w:lineRule="auto"/>
        <w:ind w:firstLine="540"/>
        <w:jc w:val="both"/>
      </w:pPr>
      <w:r>
        <w:rPr>
          <w:sz w:val="24"/>
        </w:rPr>
        <w:t xml:space="preserve">ОП (ОПИ) должны обеспечивать автоматический контроль состояния автономного источника питания, а также выдачу информации о снижении напряжения, формируемого источником автономного питания, ниже допустимого на ППУ-ТСО. Время сохранения работоспособности ОП и ОПИ после передачи сигнала о снижении напряжения автономного источника питания ниже допустимого уровня должно быть не менее 2 мес (не менее 24 ч для ОПИ с питанием от перезаряжаемого источника).</w:t>
      </w:r>
    </w:p>
    <w:p>
      <w:pPr>
        <w:pStyle w:val="0"/>
        <w:spacing w:before="240" w:lineRule="auto"/>
        <w:ind w:firstLine="540"/>
        <w:jc w:val="both"/>
      </w:pPr>
      <w:r>
        <w:rPr>
          <w:sz w:val="24"/>
        </w:rPr>
        <w:t xml:space="preserve">Для повышения надежности электропитания радиоканальных ОП и ОПИ с неперезаряжаемыми автономными источниками питания рекомендуется применять два источника питания - основной и резервный. При этом ОП (ОПИ) в дежурном режиме должны сохранять работоспособность от основного встроенного автономного источника питания не менее 36 мес, а от резервного встроенного автономного источника питания - не менее 2 мес. ОП (ОПИ) с основным и резервным источником питания должны обеспечивать автоматический контроль состояния обоих источников питания, а также выдачу информации об их неисправности на ППУ-ТСО.</w:t>
      </w:r>
    </w:p>
    <w:p>
      <w:pPr>
        <w:pStyle w:val="0"/>
        <w:spacing w:before="240" w:lineRule="auto"/>
        <w:ind w:firstLine="540"/>
        <w:jc w:val="both"/>
      </w:pPr>
      <w:r>
        <w:rPr>
          <w:sz w:val="24"/>
        </w:rPr>
        <w:t xml:space="preserve">5.1.23 ОП, устанавливаемые в базовое основание, должны быть выполнены с учетом обеспечения регистрации ППУ-ТСО неисправности при изъятии ОП из базового основания.</w:t>
      </w:r>
    </w:p>
    <w:p>
      <w:pPr>
        <w:pStyle w:val="0"/>
        <w:spacing w:before="240" w:lineRule="auto"/>
        <w:ind w:firstLine="540"/>
        <w:jc w:val="both"/>
      </w:pPr>
      <w:r>
        <w:rPr>
          <w:sz w:val="24"/>
        </w:rPr>
        <w:t xml:space="preserve">Радиоканальные ОП должны быть выполнены с учетом обеспечения регистрации ППУ-ТСО неисправности, вскрытия корпуса, изъятия из базового основания (при его наличии) и при демонтаже ОП с места крепления.</w:t>
      </w:r>
    </w:p>
    <w:p>
      <w:pPr>
        <w:pStyle w:val="0"/>
        <w:spacing w:before="240" w:lineRule="auto"/>
        <w:ind w:firstLine="540"/>
        <w:jc w:val="both"/>
      </w:pPr>
      <w:r>
        <w:rPr>
          <w:sz w:val="24"/>
        </w:rPr>
        <w:t xml:space="preserve">ОП, имеющие отдельные линию питания и линию управления (подключаемые по четырехпроводной схеме), должны быть выполнены с учетом обеспечения регистрации ППУ-ТСО неисправности при пропадании электропитания.</w:t>
      </w:r>
    </w:p>
    <w:p>
      <w:pPr>
        <w:pStyle w:val="0"/>
        <w:spacing w:before="240" w:lineRule="auto"/>
        <w:ind w:firstLine="540"/>
        <w:jc w:val="both"/>
      </w:pPr>
      <w:r>
        <w:rPr>
          <w:sz w:val="24"/>
        </w:rPr>
        <w:t xml:space="preserve">Время с момента возникновения неисправности до отображения сигнала "Неисправность" на ППУ-ТСО не должно превышать 300 с.</w:t>
      </w:r>
    </w:p>
    <w:bookmarkStart w:id="244" w:name="P244"/>
    <w:bookmarkEnd w:id="244"/>
    <w:p>
      <w:pPr>
        <w:pStyle w:val="0"/>
        <w:spacing w:before="240" w:lineRule="auto"/>
        <w:ind w:firstLine="540"/>
        <w:jc w:val="both"/>
      </w:pPr>
      <w:r>
        <w:rPr>
          <w:sz w:val="24"/>
        </w:rPr>
        <w:t xml:space="preserve">5.1.24 Возникновение неисправности в ОП с подключенными внешними проводными линиями (линии электропитания, связи) в результате теплового воздействия при пожаре не должно оказывать влияние на работоспособность других ОП, подключенных к данным проводным линиям. Выполнение данного требования должно быть обеспечено техническими решениями, определяемыми изготовителем. Применение плавких вставок в качестве основных элементов защиты от короткого замыкания не допускается.</w:t>
      </w:r>
    </w:p>
    <w:p>
      <w:pPr>
        <w:pStyle w:val="0"/>
        <w:ind w:firstLine="540"/>
        <w:jc w:val="both"/>
      </w:pPr>
      <w:r>
        <w:rPr>
          <w:sz w:val="24"/>
        </w:rPr>
      </w:r>
    </w:p>
    <w:p>
      <w:pPr>
        <w:pStyle w:val="2"/>
        <w:outlineLvl w:val="2"/>
        <w:ind w:firstLine="540"/>
        <w:jc w:val="both"/>
      </w:pPr>
      <w:r>
        <w:rPr>
          <w:sz w:val="24"/>
          <w:b w:val="on"/>
        </w:rPr>
        <w:t xml:space="preserve">5.2 Требования стойкости к внешним воздействующим факторам</w:t>
      </w:r>
    </w:p>
    <w:p>
      <w:pPr>
        <w:pStyle w:val="0"/>
        <w:ind w:firstLine="540"/>
        <w:jc w:val="both"/>
      </w:pPr>
      <w:r>
        <w:rPr>
          <w:sz w:val="24"/>
        </w:rPr>
      </w:r>
    </w:p>
    <w:bookmarkStart w:id="248" w:name="P248"/>
    <w:bookmarkEnd w:id="248"/>
    <w:p>
      <w:pPr>
        <w:pStyle w:val="0"/>
        <w:ind w:firstLine="540"/>
        <w:jc w:val="both"/>
      </w:pPr>
      <w:r>
        <w:rPr>
          <w:sz w:val="24"/>
        </w:rPr>
        <w:t xml:space="preserve">5.2.1 ОП должны сохранять работоспособность при и после воздействия на них повышенной температуры окружающей среды, указанной в ТД на ОП конкретных типов. Максимальная температура, при которой ОП должны сохранять работоспособность, должна быть не ниже 55 °C.</w:t>
      </w:r>
    </w:p>
    <w:bookmarkStart w:id="249" w:name="P249"/>
    <w:bookmarkEnd w:id="249"/>
    <w:p>
      <w:pPr>
        <w:pStyle w:val="0"/>
        <w:spacing w:before="240" w:lineRule="auto"/>
        <w:ind w:firstLine="540"/>
        <w:jc w:val="both"/>
      </w:pPr>
      <w:r>
        <w:rPr>
          <w:sz w:val="24"/>
        </w:rPr>
        <w:t xml:space="preserve">5.2.2 ОП должны сохранять работоспособность при и после воздействия на них пониженной температуры окружающей среды, указанной в ТД на ОП конкретных типов. Минимальная температура, при которой ОП должны сохранять работоспособность, должна быть не выше минус 10 °C.</w:t>
      </w:r>
    </w:p>
    <w:bookmarkStart w:id="250" w:name="P250"/>
    <w:bookmarkEnd w:id="250"/>
    <w:p>
      <w:pPr>
        <w:pStyle w:val="0"/>
        <w:spacing w:before="240" w:lineRule="auto"/>
        <w:ind w:firstLine="540"/>
        <w:jc w:val="both"/>
      </w:pPr>
      <w:r>
        <w:rPr>
          <w:sz w:val="24"/>
        </w:rPr>
        <w:t xml:space="preserve">5.2.3 ОП должны сохранять работоспособность:</w:t>
      </w:r>
    </w:p>
    <w:p>
      <w:pPr>
        <w:pStyle w:val="0"/>
        <w:spacing w:before="240" w:lineRule="auto"/>
        <w:ind w:firstLine="540"/>
        <w:jc w:val="both"/>
      </w:pPr>
      <w:r>
        <w:rPr>
          <w:sz w:val="24"/>
        </w:rPr>
        <w:t xml:space="preserve">- при и после воздействия на них относительной влажности воздуха 93% при температуре 40 °C без конденсации влаги;</w:t>
      </w:r>
    </w:p>
    <w:p>
      <w:pPr>
        <w:pStyle w:val="0"/>
        <w:spacing w:before="240" w:lineRule="auto"/>
        <w:ind w:firstLine="540"/>
        <w:jc w:val="both"/>
      </w:pPr>
      <w:r>
        <w:rPr>
          <w:sz w:val="24"/>
        </w:rPr>
        <w:t xml:space="preserve">- при конденсации влаги в результате воздействия циклически изменяющейся температуры и относительной влажности.</w:t>
      </w:r>
    </w:p>
    <w:bookmarkStart w:id="253" w:name="P253"/>
    <w:bookmarkEnd w:id="253"/>
    <w:p>
      <w:pPr>
        <w:pStyle w:val="0"/>
        <w:spacing w:before="240" w:lineRule="auto"/>
        <w:ind w:firstLine="540"/>
        <w:jc w:val="both"/>
      </w:pPr>
      <w:r>
        <w:rPr>
          <w:sz w:val="24"/>
        </w:rPr>
        <w:t xml:space="preserve">5.2.4 ОП должны сохранять работоспособность при и после воздействия синусоидальной вибрации. Параметры воздействия устанавливают в ТД на ОП конкретных типов.</w:t>
      </w:r>
    </w:p>
    <w:bookmarkStart w:id="254" w:name="P254"/>
    <w:bookmarkEnd w:id="254"/>
    <w:p>
      <w:pPr>
        <w:pStyle w:val="0"/>
        <w:spacing w:before="240" w:lineRule="auto"/>
        <w:ind w:firstLine="540"/>
        <w:jc w:val="both"/>
      </w:pPr>
      <w:r>
        <w:rPr>
          <w:sz w:val="24"/>
        </w:rPr>
        <w:t xml:space="preserve">5.2.5 ОП (кроме ОПИ) должны быть устойчивы к воздействию прямого механического удара с энергией 1,9 Дж.</w:t>
      </w:r>
    </w:p>
    <w:bookmarkStart w:id="255" w:name="P255"/>
    <w:bookmarkEnd w:id="255"/>
    <w:p>
      <w:pPr>
        <w:pStyle w:val="0"/>
        <w:spacing w:before="240" w:lineRule="auto"/>
        <w:ind w:firstLine="540"/>
        <w:jc w:val="both"/>
      </w:pPr>
      <w:r>
        <w:rPr>
          <w:sz w:val="24"/>
        </w:rPr>
        <w:t xml:space="preserve">5.2.6 ОП в упаковке должны быть прочными к воздействию повышенной и пониженной температуры, а также повышенной относительной влажности воздуха с параметрами воздействия, указанными в ТД на ОП конкретных типов. При этом значение повышенной температуры должно быть не менее 55 °C, значение пониженной температуры - не более минус 25 °C, значение относительной влажности воздуха - не менее 93% при температуре плюс 40 °C.</w:t>
      </w:r>
    </w:p>
    <w:bookmarkStart w:id="256" w:name="P256"/>
    <w:bookmarkEnd w:id="256"/>
    <w:p>
      <w:pPr>
        <w:pStyle w:val="0"/>
        <w:spacing w:before="240" w:lineRule="auto"/>
        <w:ind w:firstLine="540"/>
        <w:jc w:val="both"/>
      </w:pPr>
      <w:r>
        <w:rPr>
          <w:sz w:val="24"/>
        </w:rPr>
        <w:t xml:space="preserve">5.2.7 ОП в упаковке должны сохранять работоспособность после воздействия на них многократных механических ударов со следующими параметрами:</w:t>
      </w:r>
    </w:p>
    <w:p>
      <w:pPr>
        <w:pStyle w:val="0"/>
        <w:spacing w:before="240" w:lineRule="auto"/>
        <w:ind w:firstLine="540"/>
        <w:jc w:val="both"/>
      </w:pPr>
      <w:r>
        <w:rPr>
          <w:sz w:val="24"/>
        </w:rPr>
        <w:t xml:space="preserve">- форма ударного импульса - полусинусоида;</w:t>
      </w:r>
    </w:p>
    <w:p>
      <w:pPr>
        <w:pStyle w:val="0"/>
        <w:spacing w:before="240" w:lineRule="auto"/>
        <w:ind w:firstLine="540"/>
        <w:jc w:val="both"/>
      </w:pPr>
      <w:r>
        <w:rPr>
          <w:sz w:val="24"/>
        </w:rPr>
        <w:t xml:space="preserve">- частота ударов - 10 - 120 мин</w:t>
      </w:r>
      <w:r>
        <w:rPr>
          <w:sz w:val="24"/>
          <w:vertAlign w:val="superscript"/>
        </w:rPr>
        <w:t xml:space="preserve">-1</w:t>
      </w:r>
      <w:r>
        <w:rPr>
          <w:sz w:val="24"/>
        </w:rPr>
        <w:t xml:space="preserve">;</w:t>
      </w:r>
    </w:p>
    <w:p>
      <w:pPr>
        <w:pStyle w:val="0"/>
        <w:spacing w:before="240" w:lineRule="auto"/>
        <w:ind w:firstLine="540"/>
        <w:jc w:val="both"/>
      </w:pPr>
      <w:r>
        <w:rPr>
          <w:sz w:val="24"/>
        </w:rPr>
        <w:t xml:space="preserve">- продолжительность ударного импульса - 6 мс;</w:t>
      </w:r>
    </w:p>
    <w:p>
      <w:pPr>
        <w:pStyle w:val="0"/>
        <w:spacing w:before="240" w:lineRule="auto"/>
        <w:ind w:firstLine="540"/>
        <w:jc w:val="both"/>
      </w:pPr>
      <w:r>
        <w:rPr>
          <w:sz w:val="24"/>
        </w:rPr>
        <w:t xml:space="preserve">- пиковое ускорение - не менее 40</w:t>
      </w:r>
      <w:r>
        <w:rPr>
          <w:sz w:val="24"/>
          <w:i w:val="on"/>
        </w:rPr>
        <w:t xml:space="preserve">g</w:t>
      </w:r>
      <w:r>
        <w:rPr>
          <w:sz w:val="24"/>
        </w:rPr>
        <w:t xml:space="preserve">.</w:t>
      </w:r>
    </w:p>
    <w:p>
      <w:pPr>
        <w:pStyle w:val="0"/>
        <w:ind w:firstLine="540"/>
        <w:jc w:val="both"/>
      </w:pPr>
      <w:r>
        <w:rPr>
          <w:sz w:val="24"/>
        </w:rPr>
      </w:r>
    </w:p>
    <w:bookmarkStart w:id="262" w:name="P262"/>
    <w:bookmarkEnd w:id="262"/>
    <w:p>
      <w:pPr>
        <w:pStyle w:val="2"/>
        <w:outlineLvl w:val="2"/>
        <w:ind w:firstLine="540"/>
        <w:jc w:val="both"/>
      </w:pPr>
      <w:r>
        <w:rPr>
          <w:sz w:val="24"/>
          <w:b w:val="on"/>
        </w:rPr>
        <w:t xml:space="preserve">5.3 Требования электромагнитной совместимости</w:t>
      </w:r>
    </w:p>
    <w:p>
      <w:pPr>
        <w:pStyle w:val="0"/>
        <w:ind w:firstLine="540"/>
        <w:jc w:val="both"/>
      </w:pPr>
      <w:r>
        <w:rPr>
          <w:sz w:val="24"/>
        </w:rPr>
      </w:r>
    </w:p>
    <w:bookmarkStart w:id="264" w:name="P264"/>
    <w:bookmarkEnd w:id="264"/>
    <w:p>
      <w:pPr>
        <w:pStyle w:val="0"/>
        <w:ind w:firstLine="540"/>
        <w:jc w:val="both"/>
      </w:pPr>
      <w:r>
        <w:rPr>
          <w:sz w:val="24"/>
        </w:rPr>
        <w:t xml:space="preserve">5.3.1 ОП должны сохранять работоспособность при и после воздействия электромагнитных помех, параметры которых должны соответствовать требованиям, указанным в </w:t>
      </w:r>
      <w:hyperlink w:history="0" w:anchor="P790" w:tooltip="ПОМЕХОУСТОЙЧИВОСТЬ И ПОМЕХОЭМИССИЯ.">
        <w:r>
          <w:rPr>
            <w:sz w:val="24"/>
            <w:color w:val="0000ff"/>
          </w:rPr>
          <w:t xml:space="preserve">приложении А</w:t>
        </w:r>
      </w:hyperlink>
      <w:r>
        <w:rPr>
          <w:sz w:val="24"/>
        </w:rPr>
        <w:t xml:space="preserve">. ОП должны быть устойчивы к воздействию электромагнитных помех со степенью жесткости не ниже 2.</w:t>
      </w:r>
    </w:p>
    <w:p>
      <w:pPr>
        <w:pStyle w:val="0"/>
        <w:spacing w:before="240" w:lineRule="auto"/>
        <w:ind w:firstLine="540"/>
        <w:jc w:val="both"/>
      </w:pPr>
      <w:r>
        <w:rPr>
          <w:sz w:val="24"/>
        </w:rPr>
        <w:t xml:space="preserve">5.3.2 Уровень индустриальных радиопомех, создаваемых ОП, должен соответствовать требованиям, указанным в </w:t>
      </w:r>
      <w:hyperlink w:history="0" w:anchor="P790" w:tooltip="ПОМЕХОУСТОЙЧИВОСТЬ И ПОМЕХОЭМИССИЯ.">
        <w:r>
          <w:rPr>
            <w:sz w:val="24"/>
            <w:color w:val="0000ff"/>
          </w:rPr>
          <w:t xml:space="preserve">приложении А</w:t>
        </w:r>
      </w:hyperlink>
      <w:r>
        <w:rPr>
          <w:sz w:val="24"/>
        </w:rPr>
        <w:t xml:space="preserve">.</w:t>
      </w:r>
    </w:p>
    <w:p>
      <w:pPr>
        <w:pStyle w:val="0"/>
        <w:ind w:firstLine="540"/>
        <w:jc w:val="both"/>
      </w:pPr>
      <w:r>
        <w:rPr>
          <w:sz w:val="24"/>
        </w:rPr>
      </w:r>
    </w:p>
    <w:p>
      <w:pPr>
        <w:pStyle w:val="2"/>
        <w:outlineLvl w:val="2"/>
        <w:ind w:firstLine="540"/>
        <w:jc w:val="both"/>
      </w:pPr>
      <w:r>
        <w:rPr>
          <w:sz w:val="24"/>
          <w:b w:val="on"/>
        </w:rPr>
        <w:t xml:space="preserve">5.4 Требования надежности</w:t>
      </w:r>
    </w:p>
    <w:p>
      <w:pPr>
        <w:pStyle w:val="0"/>
        <w:ind w:firstLine="540"/>
        <w:jc w:val="both"/>
      </w:pPr>
      <w:r>
        <w:rPr>
          <w:sz w:val="24"/>
        </w:rPr>
      </w:r>
    </w:p>
    <w:p>
      <w:pPr>
        <w:pStyle w:val="0"/>
        <w:ind w:firstLine="540"/>
        <w:jc w:val="both"/>
      </w:pPr>
      <w:r>
        <w:rPr>
          <w:sz w:val="24"/>
        </w:rPr>
        <w:t xml:space="preserve">5.4.1 Средняя наработка на отказ ОП должна быть не менее 60 000 ч.</w:t>
      </w:r>
    </w:p>
    <w:p>
      <w:pPr>
        <w:pStyle w:val="0"/>
        <w:spacing w:before="240" w:lineRule="auto"/>
        <w:ind w:firstLine="540"/>
        <w:jc w:val="both"/>
      </w:pPr>
      <w:r>
        <w:rPr>
          <w:sz w:val="24"/>
        </w:rPr>
        <w:t xml:space="preserve">Для ОП, имеющих в своем составе механически подвижные элементы конструкции, средняя наработка на отказ должна быть не менее 43 500 ч.</w:t>
      </w:r>
    </w:p>
    <w:p>
      <w:pPr>
        <w:pStyle w:val="0"/>
        <w:spacing w:before="240" w:lineRule="auto"/>
        <w:ind w:firstLine="540"/>
        <w:jc w:val="both"/>
      </w:pPr>
      <w:r>
        <w:rPr>
          <w:sz w:val="24"/>
        </w:rPr>
        <w:t xml:space="preserve">Условия, для которых нормируются показатели безотказности и долговечности, должны быть указаны в ТД на ОП конкретного типа.</w:t>
      </w:r>
    </w:p>
    <w:p>
      <w:pPr>
        <w:pStyle w:val="0"/>
        <w:spacing w:before="240" w:lineRule="auto"/>
        <w:ind w:firstLine="540"/>
        <w:jc w:val="both"/>
      </w:pPr>
      <w:r>
        <w:rPr>
          <w:sz w:val="24"/>
        </w:rPr>
        <w:t xml:space="preserve">5.4.2 Максимальный срок службы ОП должен быть указан в ТД на ОП конкретного типа.</w:t>
      </w:r>
    </w:p>
    <w:p>
      <w:pPr>
        <w:pStyle w:val="0"/>
        <w:spacing w:before="240" w:lineRule="auto"/>
        <w:ind w:firstLine="540"/>
        <w:jc w:val="both"/>
      </w:pPr>
      <w:r>
        <w:rPr>
          <w:sz w:val="24"/>
        </w:rPr>
        <w:t xml:space="preserve">Примечание - Без учета срока службы автономных источников питания ОП.</w:t>
      </w:r>
    </w:p>
    <w:p>
      <w:pPr>
        <w:pStyle w:val="0"/>
        <w:ind w:firstLine="540"/>
        <w:jc w:val="both"/>
      </w:pPr>
      <w:r>
        <w:rPr>
          <w:sz w:val="24"/>
        </w:rPr>
      </w:r>
    </w:p>
    <w:p>
      <w:pPr>
        <w:pStyle w:val="2"/>
        <w:outlineLvl w:val="2"/>
        <w:ind w:firstLine="540"/>
        <w:jc w:val="both"/>
      </w:pPr>
      <w:r>
        <w:rPr>
          <w:sz w:val="24"/>
          <w:b w:val="on"/>
        </w:rPr>
        <w:t xml:space="preserve">5.5 Требования к конструкции</w:t>
      </w:r>
    </w:p>
    <w:p>
      <w:pPr>
        <w:pStyle w:val="0"/>
        <w:ind w:firstLine="540"/>
        <w:jc w:val="both"/>
      </w:pPr>
      <w:r>
        <w:rPr>
          <w:sz w:val="24"/>
        </w:rPr>
      </w:r>
    </w:p>
    <w:p>
      <w:pPr>
        <w:pStyle w:val="0"/>
        <w:ind w:firstLine="540"/>
        <w:jc w:val="both"/>
      </w:pPr>
      <w:r>
        <w:rPr>
          <w:sz w:val="24"/>
        </w:rPr>
        <w:t xml:space="preserve">5.5.1 ОП должны быть обеспечены элементами крепления, позволяющими надежно фиксировать их положение при монтаже и/или эксплуатации.</w:t>
      </w:r>
    </w:p>
    <w:p>
      <w:pPr>
        <w:pStyle w:val="0"/>
        <w:spacing w:before="240" w:lineRule="auto"/>
        <w:ind w:firstLine="540"/>
        <w:jc w:val="both"/>
      </w:pPr>
      <w:r>
        <w:rPr>
          <w:sz w:val="24"/>
        </w:rPr>
        <w:t xml:space="preserve">Браслеты, ремешки или иные элементы крепления ОПИ, предназначенных для использования в медицинских организациях и учреждениях социальной защиты, должны быть легкосъемными.</w:t>
      </w:r>
    </w:p>
    <w:p>
      <w:pPr>
        <w:pStyle w:val="0"/>
        <w:spacing w:before="240" w:lineRule="auto"/>
        <w:ind w:firstLine="540"/>
        <w:jc w:val="both"/>
      </w:pPr>
      <w:r>
        <w:rPr>
          <w:sz w:val="24"/>
        </w:rPr>
        <w:t xml:space="preserve">5.5.2 ОПЗ и ОПР не должны иметь внешних регуляторов громкости.</w:t>
      </w:r>
    </w:p>
    <w:p>
      <w:pPr>
        <w:pStyle w:val="0"/>
        <w:spacing w:before="240" w:lineRule="auto"/>
        <w:ind w:firstLine="540"/>
        <w:jc w:val="both"/>
      </w:pPr>
      <w:r>
        <w:rPr>
          <w:sz w:val="24"/>
        </w:rPr>
        <w:t xml:space="preserve">5.5.3 ОП, работающие по проводным линиям связи и питания, следует подключать к сети электропитания и/или к линиям управления с помощью пайки или с использованием клемм. Клеммы (места для пайки) следует располагать в месте, не доступном после монтажа ОП.</w:t>
      </w:r>
    </w:p>
    <w:p>
      <w:pPr>
        <w:pStyle w:val="0"/>
        <w:spacing w:before="240" w:lineRule="auto"/>
        <w:ind w:firstLine="540"/>
        <w:jc w:val="both"/>
      </w:pPr>
      <w:r>
        <w:rPr>
          <w:sz w:val="24"/>
        </w:rPr>
        <w:t xml:space="preserve">Зажимы клемм ОП или базовых оснований должны быть рассчитаны на подключение не более двух проводников, в том числе разного диаметра, чтобы обеспечить возможность регистрации ППУ-ТСО неисправности соединений входных и выходных проводов линии связи, а также устанавливаемых при необходимости в корпус ОП (базовых оснований ОП) элементов (резисторы, диоды и т.п.).</w:t>
      </w:r>
    </w:p>
    <w:p>
      <w:pPr>
        <w:pStyle w:val="0"/>
        <w:spacing w:before="240" w:lineRule="auto"/>
        <w:ind w:firstLine="540"/>
        <w:jc w:val="both"/>
      </w:pPr>
      <w:r>
        <w:rPr>
          <w:sz w:val="24"/>
        </w:rPr>
        <w:t xml:space="preserve">Для ОП, предназначенных для применения во взрывоопасных зонах, подключение которых осуществляется через соединительные (коммутационные) коробки, требование относится к данным коробкам, которые должны входить в состав ОП.</w:t>
      </w:r>
    </w:p>
    <w:p>
      <w:pPr>
        <w:pStyle w:val="0"/>
        <w:spacing w:before="240" w:lineRule="auto"/>
        <w:ind w:firstLine="540"/>
        <w:jc w:val="both"/>
      </w:pPr>
      <w:r>
        <w:rPr>
          <w:sz w:val="24"/>
        </w:rPr>
        <w:t xml:space="preserve">5.5.4 Корпус ОП должен обеспечивать защиту от проникновения твердых предметов и воздействия воды для условий окружающей среды, в которых ОП предполагается использовать. Степень защиты оболочкой ОП (код IP) устанавливается в ТД по </w:t>
      </w:r>
      <w:hyperlink w:history="0" r:id="rId34" w:tooltip="&quot;ГОСТ 14254-2015 (IEC 60529:2013). Межгосударственный стандарт. Степени защиты, обеспечиваемые оболочками (Код IP)&quot; (введен в действие Приказом Росстандарта от 10.06.2016 N 604-ст) {КонсультантПлюс}">
        <w:r>
          <w:rPr>
            <w:sz w:val="24"/>
            <w:color w:val="0000ff"/>
          </w:rPr>
          <w:t xml:space="preserve">ГОСТ 14254</w:t>
        </w:r>
      </w:hyperlink>
      <w:r>
        <w:rPr>
          <w:sz w:val="24"/>
        </w:rPr>
        <w:t xml:space="preserve">.</w:t>
      </w:r>
    </w:p>
    <w:bookmarkStart w:id="284" w:name="P284"/>
    <w:bookmarkEnd w:id="284"/>
    <w:p>
      <w:pPr>
        <w:pStyle w:val="0"/>
        <w:spacing w:before="240" w:lineRule="auto"/>
        <w:ind w:firstLine="540"/>
        <w:jc w:val="both"/>
      </w:pPr>
      <w:r>
        <w:rPr>
          <w:sz w:val="24"/>
        </w:rPr>
        <w:t xml:space="preserve">5.5.5 Значения электрической прочности и сопротивления изоляции должны соответствовать требованиям нормативных документов, действующих на территории государства - участника Соглашения, принявшего настоящий стандарт &lt;*&gt;, и быть установлены в ТД на ОП конкретных типов.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В Российской Федерации - в соответствии с </w:t>
      </w:r>
      <w:hyperlink w:history="0" r:id="rId35" w:tooltip="&quot;ГОСТ Р 52931-2008. Национальный стандарт Российской Федерации. Приборы контроля и регулирования технологических процессов. Общие технические условия&quot; (утв. и введен в действие Приказом Ростехрегулирования от 27.06.2008 N 129-ст) {КонсультантПлюс}">
        <w:r>
          <w:rPr>
            <w:sz w:val="24"/>
            <w:color w:val="0000ff"/>
          </w:rPr>
          <w:t xml:space="preserve">ГОСТ Р 52931-2008</w:t>
        </w:r>
      </w:hyperlink>
      <w:r>
        <w:rPr>
          <w:sz w:val="24"/>
        </w:rPr>
        <w:t xml:space="preserve"> "Приборы контроля и регулирования технологических процессов. Общие технические условия"</w:t>
      </w:r>
    </w:p>
    <w:p>
      <w:pPr>
        <w:pStyle w:val="0"/>
        <w:ind w:firstLine="540"/>
        <w:jc w:val="both"/>
      </w:pPr>
      <w:r>
        <w:rPr>
          <w:sz w:val="24"/>
        </w:rPr>
      </w:r>
    </w:p>
    <w:p>
      <w:pPr>
        <w:pStyle w:val="0"/>
        <w:ind w:firstLine="540"/>
        <w:jc w:val="both"/>
      </w:pPr>
      <w:r>
        <w:rPr>
          <w:sz w:val="24"/>
        </w:rPr>
        <w:t xml:space="preserve">5.5.5.1 Значения электрической прочности и сопротивления изоляции в нормальных климатических условиях должны быть установлены в ТД на ОП конкретных типов.</w:t>
      </w:r>
    </w:p>
    <w:bookmarkStart w:id="289" w:name="P289"/>
    <w:bookmarkEnd w:id="289"/>
    <w:p>
      <w:pPr>
        <w:pStyle w:val="0"/>
        <w:spacing w:before="240" w:lineRule="auto"/>
        <w:ind w:firstLine="540"/>
        <w:jc w:val="both"/>
      </w:pPr>
      <w:r>
        <w:rPr>
          <w:sz w:val="24"/>
        </w:rPr>
        <w:t xml:space="preserve">5.5.5.2 Электрическая изоляция должна выдерживать испытательное напряжение в соответствии с таблицей 5.2.</w:t>
      </w:r>
    </w:p>
    <w:p>
      <w:pPr>
        <w:pStyle w:val="0"/>
        <w:ind w:firstLine="540"/>
        <w:jc w:val="both"/>
      </w:pPr>
      <w:r>
        <w:rPr>
          <w:sz w:val="24"/>
        </w:rPr>
      </w:r>
    </w:p>
    <w:p>
      <w:pPr>
        <w:pStyle w:val="0"/>
        <w:jc w:val="right"/>
      </w:pPr>
      <w:r>
        <w:rPr>
          <w:sz w:val="24"/>
        </w:rPr>
        <w:t xml:space="preserve">Таблица 5.2</w:t>
      </w:r>
    </w:p>
    <w:p>
      <w:pPr>
        <w:pStyle w:val="0"/>
        <w:ind w:firstLine="540"/>
        <w:jc w:val="both"/>
      </w:pPr>
      <w:r>
        <w:rPr>
          <w:sz w:val="24"/>
        </w:rPr>
      </w:r>
    </w:p>
    <w:p>
      <w:pPr>
        <w:pStyle w:val="0"/>
        <w:jc w:val="center"/>
      </w:pPr>
      <w:r>
        <w:rPr>
          <w:sz w:val="24"/>
        </w:rPr>
        <w:t xml:space="preserve">Испытательное напряжение при контроле</w:t>
      </w:r>
    </w:p>
    <w:p>
      <w:pPr>
        <w:pStyle w:val="0"/>
        <w:jc w:val="center"/>
      </w:pPr>
      <w:r>
        <w:rPr>
          <w:sz w:val="24"/>
        </w:rPr>
        <w:t xml:space="preserve">электрической прочности изоляции</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3742"/>
        <w:gridCol w:w="3685"/>
        <w:gridCol w:w="1304"/>
        <w:gridCol w:w="1871"/>
      </w:tblGrid>
      <w:tr>
        <w:tblPrEx>
          <w:tblBorders>
            <w:insideH w:val="single" w:sz="4"/>
          </w:tblBorders>
        </w:tblPrEx>
        <w:tc>
          <w:tcPr>
            <w:gridSpan w:val="2"/>
            <w:tcW w:w="7427" w:type="dxa"/>
            <w:vAlign w:val="center"/>
            <w:tcBorders>
              <w:top w:val="single" w:sz="4"/>
              <w:bottom w:val="single" w:sz="4"/>
            </w:tcBorders>
          </w:tcPr>
          <w:p>
            <w:pPr>
              <w:pStyle w:val="0"/>
              <w:jc w:val="center"/>
            </w:pPr>
            <w:r>
              <w:rPr>
                <w:sz w:val="24"/>
              </w:rPr>
              <w:t xml:space="preserve">Номинальное напряжение цепи </w:t>
            </w:r>
            <w:r>
              <w:rPr>
                <w:sz w:val="24"/>
                <w:i w:val="on"/>
              </w:rPr>
              <w:t xml:space="preserve">U</w:t>
            </w:r>
            <w:r>
              <w:rPr>
                <w:sz w:val="24"/>
                <w:vertAlign w:val="subscript"/>
              </w:rPr>
              <w:t xml:space="preserve">ном</w:t>
            </w:r>
            <w:r>
              <w:rPr>
                <w:sz w:val="24"/>
              </w:rPr>
              <w:t xml:space="preserve">, В</w:t>
            </w:r>
          </w:p>
        </w:tc>
        <w:tc>
          <w:tcPr>
            <w:gridSpan w:val="2"/>
            <w:tcW w:w="3175" w:type="dxa"/>
            <w:vAlign w:val="center"/>
            <w:tcBorders>
              <w:top w:val="single" w:sz="4"/>
              <w:bottom w:val="single" w:sz="4"/>
            </w:tcBorders>
          </w:tcPr>
          <w:p>
            <w:pPr>
              <w:pStyle w:val="0"/>
              <w:jc w:val="center"/>
            </w:pPr>
            <w:r>
              <w:rPr>
                <w:sz w:val="24"/>
              </w:rPr>
              <w:t xml:space="preserve">Испытательное напряжение</w:t>
            </w:r>
          </w:p>
          <w:p>
            <w:pPr>
              <w:pStyle w:val="0"/>
              <w:jc w:val="center"/>
            </w:pPr>
            <w:r>
              <w:rPr>
                <w:sz w:val="24"/>
              </w:rPr>
              <w:t xml:space="preserve">(среднее квадратическое значение), кВ</w:t>
            </w:r>
          </w:p>
        </w:tc>
      </w:tr>
      <w:tr>
        <w:tblPrEx>
          <w:tblBorders>
            <w:insideH w:val="single" w:sz="4"/>
          </w:tblBorders>
        </w:tblPrEx>
        <w:tc>
          <w:tcPr>
            <w:tcW w:w="3742" w:type="dxa"/>
            <w:vAlign w:val="center"/>
            <w:tcBorders>
              <w:top w:val="single" w:sz="4"/>
              <w:bottom w:val="single" w:sz="4"/>
            </w:tcBorders>
          </w:tcPr>
          <w:p>
            <w:pPr>
              <w:pStyle w:val="0"/>
              <w:jc w:val="center"/>
            </w:pPr>
            <w:r>
              <w:rPr>
                <w:sz w:val="24"/>
              </w:rPr>
              <w:t xml:space="preserve">Постоянное или синусоидальное переменное</w:t>
            </w:r>
          </w:p>
          <w:p>
            <w:pPr>
              <w:pStyle w:val="0"/>
              <w:jc w:val="center"/>
            </w:pPr>
            <w:r>
              <w:rPr>
                <w:sz w:val="24"/>
              </w:rPr>
              <w:t xml:space="preserve">(среднее квадратическое значение)</w:t>
            </w:r>
          </w:p>
        </w:tc>
        <w:tc>
          <w:tcPr>
            <w:tcW w:w="3685" w:type="dxa"/>
            <w:vAlign w:val="center"/>
            <w:tcBorders>
              <w:top w:val="single" w:sz="4"/>
              <w:bottom w:val="single" w:sz="4"/>
            </w:tcBorders>
          </w:tcPr>
          <w:p>
            <w:pPr>
              <w:pStyle w:val="0"/>
              <w:jc w:val="center"/>
            </w:pPr>
            <w:r>
              <w:rPr>
                <w:sz w:val="24"/>
              </w:rPr>
              <w:t xml:space="preserve">Несинусоидальное переменное или смешанное</w:t>
            </w:r>
          </w:p>
          <w:p>
            <w:pPr>
              <w:pStyle w:val="0"/>
              <w:jc w:val="center"/>
            </w:pPr>
            <w:r>
              <w:rPr>
                <w:sz w:val="24"/>
              </w:rPr>
              <w:t xml:space="preserve">(пиковое значение)</w:t>
            </w:r>
          </w:p>
        </w:tc>
        <w:tc>
          <w:tcPr>
            <w:tcW w:w="1304" w:type="dxa"/>
            <w:vAlign w:val="center"/>
            <w:tcBorders>
              <w:top w:val="single" w:sz="4"/>
              <w:bottom w:val="single" w:sz="4"/>
            </w:tcBorders>
          </w:tcPr>
          <w:p>
            <w:pPr>
              <w:pStyle w:val="0"/>
              <w:jc w:val="center"/>
            </w:pPr>
            <w:r>
              <w:rPr>
                <w:sz w:val="24"/>
              </w:rPr>
              <w:t xml:space="preserve">Цепей с рабочей изоляцией</w:t>
            </w:r>
          </w:p>
        </w:tc>
        <w:tc>
          <w:tcPr>
            <w:tcW w:w="1871" w:type="dxa"/>
            <w:vAlign w:val="center"/>
            <w:tcBorders>
              <w:top w:val="single" w:sz="4"/>
              <w:bottom w:val="single" w:sz="4"/>
            </w:tcBorders>
          </w:tcPr>
          <w:p>
            <w:pPr>
              <w:pStyle w:val="0"/>
              <w:jc w:val="center"/>
            </w:pPr>
            <w:r>
              <w:rPr>
                <w:sz w:val="24"/>
              </w:rPr>
              <w:t xml:space="preserve">Цепей с двойной или усиленной изоляцией</w:t>
            </w:r>
          </w:p>
        </w:tc>
      </w:tr>
      <w:tr>
        <w:tc>
          <w:tcPr>
            <w:tcW w:w="3742" w:type="dxa"/>
            <w:tcBorders>
              <w:top w:val="single" w:sz="4"/>
              <w:bottom w:val="nil"/>
            </w:tcBorders>
          </w:tcPr>
          <w:p>
            <w:pPr>
              <w:pStyle w:val="1"/>
              <w:jc w:val="both"/>
            </w:pPr>
            <w:r>
              <w:rPr>
                <w:sz w:val="20"/>
              </w:rPr>
              <w:t xml:space="preserve">         До 60 включ.</w:t>
            </w:r>
          </w:p>
        </w:tc>
        <w:tc>
          <w:tcPr>
            <w:tcW w:w="3685" w:type="dxa"/>
            <w:tcBorders>
              <w:top w:val="single" w:sz="4"/>
              <w:bottom w:val="nil"/>
            </w:tcBorders>
          </w:tcPr>
          <w:p>
            <w:pPr>
              <w:pStyle w:val="1"/>
              <w:jc w:val="both"/>
            </w:pPr>
            <w:r>
              <w:rPr>
                <w:sz w:val="20"/>
              </w:rPr>
              <w:t xml:space="preserve">         До 85 включ.</w:t>
            </w:r>
          </w:p>
        </w:tc>
        <w:tc>
          <w:tcPr>
            <w:tcW w:w="1304" w:type="dxa"/>
            <w:tcBorders>
              <w:top w:val="single" w:sz="4"/>
              <w:bottom w:val="nil"/>
            </w:tcBorders>
          </w:tcPr>
          <w:p>
            <w:pPr>
              <w:pStyle w:val="0"/>
              <w:jc w:val="center"/>
            </w:pPr>
            <w:r>
              <w:rPr>
                <w:sz w:val="24"/>
              </w:rPr>
              <w:t xml:space="preserve">0,5</w:t>
            </w:r>
          </w:p>
        </w:tc>
        <w:tc>
          <w:tcPr>
            <w:tcW w:w="1871" w:type="dxa"/>
            <w:tcBorders>
              <w:top w:val="single" w:sz="4"/>
              <w:bottom w:val="nil"/>
            </w:tcBorders>
          </w:tcPr>
          <w:p>
            <w:pPr>
              <w:pStyle w:val="0"/>
              <w:jc w:val="center"/>
            </w:pPr>
            <w:r>
              <w:rPr>
                <w:sz w:val="24"/>
              </w:rPr>
              <w:t xml:space="preserve">0,75</w:t>
            </w:r>
          </w:p>
        </w:tc>
      </w:tr>
      <w:tr>
        <w:tc>
          <w:tcPr>
            <w:tcW w:w="3742" w:type="dxa"/>
            <w:tcBorders>
              <w:top w:val="nil"/>
              <w:bottom w:val="nil"/>
            </w:tcBorders>
          </w:tcPr>
          <w:p>
            <w:pPr>
              <w:pStyle w:val="1"/>
              <w:jc w:val="both"/>
            </w:pPr>
            <w:r>
              <w:rPr>
                <w:sz w:val="20"/>
              </w:rPr>
              <w:t xml:space="preserve">  Св. 60 " 130   "</w:t>
            </w:r>
          </w:p>
        </w:tc>
        <w:tc>
          <w:tcPr>
            <w:tcW w:w="3685" w:type="dxa"/>
            <w:tcBorders>
              <w:top w:val="nil"/>
              <w:bottom w:val="nil"/>
            </w:tcBorders>
          </w:tcPr>
          <w:p>
            <w:pPr>
              <w:pStyle w:val="1"/>
              <w:jc w:val="both"/>
            </w:pPr>
            <w:r>
              <w:rPr>
                <w:sz w:val="20"/>
              </w:rPr>
              <w:t xml:space="preserve">  Св. 85 " 184   "</w:t>
            </w:r>
          </w:p>
        </w:tc>
        <w:tc>
          <w:tcPr>
            <w:tcW w:w="1304" w:type="dxa"/>
            <w:tcBorders>
              <w:top w:val="nil"/>
              <w:bottom w:val="nil"/>
            </w:tcBorders>
          </w:tcPr>
          <w:p>
            <w:pPr>
              <w:pStyle w:val="0"/>
              <w:jc w:val="center"/>
            </w:pPr>
            <w:r>
              <w:rPr>
                <w:sz w:val="24"/>
              </w:rPr>
              <w:t xml:space="preserve">1,0</w:t>
            </w:r>
          </w:p>
        </w:tc>
        <w:tc>
          <w:tcPr>
            <w:tcW w:w="1871" w:type="dxa"/>
            <w:tcBorders>
              <w:top w:val="nil"/>
              <w:bottom w:val="nil"/>
            </w:tcBorders>
          </w:tcPr>
          <w:p>
            <w:pPr>
              <w:pStyle w:val="0"/>
              <w:jc w:val="center"/>
            </w:pPr>
            <w:r>
              <w:rPr>
                <w:sz w:val="24"/>
              </w:rPr>
              <w:t xml:space="preserve">1,5</w:t>
            </w:r>
          </w:p>
        </w:tc>
      </w:tr>
      <w:tr>
        <w:tc>
          <w:tcPr>
            <w:tcW w:w="3742" w:type="dxa"/>
            <w:tcBorders>
              <w:top w:val="nil"/>
              <w:bottom w:val="nil"/>
            </w:tcBorders>
          </w:tcPr>
          <w:p>
            <w:pPr>
              <w:pStyle w:val="1"/>
              <w:jc w:val="both"/>
            </w:pPr>
            <w:r>
              <w:rPr>
                <w:sz w:val="20"/>
              </w:rPr>
              <w:t xml:space="preserve">   " 130 " 250   "</w:t>
            </w:r>
          </w:p>
        </w:tc>
        <w:tc>
          <w:tcPr>
            <w:tcW w:w="3685" w:type="dxa"/>
            <w:tcBorders>
              <w:top w:val="nil"/>
              <w:bottom w:val="nil"/>
            </w:tcBorders>
          </w:tcPr>
          <w:p>
            <w:pPr>
              <w:pStyle w:val="1"/>
              <w:jc w:val="both"/>
            </w:pPr>
            <w:r>
              <w:rPr>
                <w:sz w:val="20"/>
              </w:rPr>
              <w:t xml:space="preserve">   " 184 " 354   "</w:t>
            </w:r>
          </w:p>
        </w:tc>
        <w:tc>
          <w:tcPr>
            <w:tcW w:w="1304" w:type="dxa"/>
            <w:tcBorders>
              <w:top w:val="nil"/>
              <w:bottom w:val="nil"/>
            </w:tcBorders>
          </w:tcPr>
          <w:p>
            <w:pPr>
              <w:pStyle w:val="0"/>
              <w:jc w:val="center"/>
            </w:pPr>
            <w:r>
              <w:rPr>
                <w:sz w:val="24"/>
              </w:rPr>
              <w:t xml:space="preserve">1,5</w:t>
            </w:r>
          </w:p>
        </w:tc>
        <w:tc>
          <w:tcPr>
            <w:tcW w:w="1871" w:type="dxa"/>
            <w:tcBorders>
              <w:top w:val="nil"/>
              <w:bottom w:val="nil"/>
            </w:tcBorders>
          </w:tcPr>
          <w:p>
            <w:pPr>
              <w:pStyle w:val="0"/>
              <w:jc w:val="center"/>
            </w:pPr>
            <w:r>
              <w:rPr>
                <w:sz w:val="24"/>
              </w:rPr>
              <w:t xml:space="preserve">3,0</w:t>
            </w:r>
          </w:p>
        </w:tc>
      </w:tr>
      <w:tr>
        <w:tc>
          <w:tcPr>
            <w:tcW w:w="3742" w:type="dxa"/>
            <w:tcBorders>
              <w:top w:val="nil"/>
              <w:bottom w:val="single" w:sz="4"/>
            </w:tcBorders>
          </w:tcPr>
          <w:p>
            <w:pPr>
              <w:pStyle w:val="1"/>
              <w:jc w:val="both"/>
            </w:pPr>
            <w:r>
              <w:rPr>
                <w:sz w:val="20"/>
              </w:rPr>
              <w:t xml:space="preserve">   " 250 " 660   "</w:t>
            </w:r>
          </w:p>
        </w:tc>
        <w:tc>
          <w:tcPr>
            <w:tcW w:w="3685" w:type="dxa"/>
            <w:tcBorders>
              <w:top w:val="nil"/>
              <w:bottom w:val="single" w:sz="4"/>
            </w:tcBorders>
          </w:tcPr>
          <w:p>
            <w:pPr>
              <w:pStyle w:val="1"/>
              <w:jc w:val="both"/>
            </w:pPr>
            <w:r>
              <w:rPr>
                <w:sz w:val="20"/>
              </w:rPr>
              <w:t xml:space="preserve">   " 354 " 933   "</w:t>
            </w:r>
          </w:p>
        </w:tc>
        <w:tc>
          <w:tcPr>
            <w:tcW w:w="1304" w:type="dxa"/>
            <w:tcBorders>
              <w:top w:val="nil"/>
              <w:bottom w:val="single" w:sz="4"/>
            </w:tcBorders>
          </w:tcPr>
          <w:p>
            <w:pPr>
              <w:pStyle w:val="0"/>
              <w:jc w:val="center"/>
            </w:pPr>
            <w:r>
              <w:rPr>
                <w:sz w:val="24"/>
              </w:rPr>
              <w:t xml:space="preserve">2,0</w:t>
            </w:r>
          </w:p>
        </w:tc>
        <w:tc>
          <w:tcPr>
            <w:tcW w:w="1871" w:type="dxa"/>
            <w:tcBorders>
              <w:top w:val="nil"/>
              <w:bottom w:val="single" w:sz="4"/>
            </w:tcBorders>
          </w:tcPr>
          <w:p>
            <w:pPr>
              <w:pStyle w:val="0"/>
              <w:jc w:val="center"/>
            </w:pPr>
            <w:r>
              <w:rPr>
                <w:sz w:val="24"/>
              </w:rPr>
              <w:t xml:space="preserve">4,0</w:t>
            </w:r>
          </w:p>
        </w:tc>
      </w:tr>
      <w:tr>
        <w:tblPrEx>
          <w:tblBorders>
            <w:insideH w:val="single" w:sz="4"/>
          </w:tblBorders>
        </w:tblPrEx>
        <w:tc>
          <w:tcPr>
            <w:gridSpan w:val="4"/>
            <w:tcW w:w="10602" w:type="dxa"/>
            <w:tcBorders>
              <w:top w:val="single" w:sz="4"/>
              <w:bottom w:val="single" w:sz="4"/>
            </w:tcBorders>
          </w:tcPr>
          <w:p>
            <w:pPr>
              <w:pStyle w:val="0"/>
              <w:ind w:firstLine="283"/>
              <w:jc w:val="both"/>
            </w:pPr>
            <w:r>
              <w:rPr>
                <w:sz w:val="24"/>
              </w:rPr>
              <w:t xml:space="preserve">Примечание - Для цепей с номинальным напряжением до 42 В, а также для цепей, содержащих комплектующие элементы, не допускающие испытаний напряжением по настоящей таблице, допускается устанавливать меньшее испытательное напряжение, значение которого должно быть не менее 3</w:t>
            </w:r>
            <w:r>
              <w:rPr>
                <w:sz w:val="24"/>
                <w:i w:val="on"/>
              </w:rPr>
              <w:t xml:space="preserve">U</w:t>
            </w:r>
            <w:r>
              <w:rPr>
                <w:sz w:val="24"/>
                <w:vertAlign w:val="subscript"/>
              </w:rPr>
              <w:t xml:space="preserve">ном</w:t>
            </w:r>
            <w:r>
              <w:rPr>
                <w:sz w:val="24"/>
              </w:rPr>
              <w:t xml:space="preserve"> для цепей с рабочей изоляцией и 6</w:t>
            </w:r>
            <w:r>
              <w:rPr>
                <w:sz w:val="24"/>
                <w:i w:val="on"/>
              </w:rPr>
              <w:t xml:space="preserve">U</w:t>
            </w:r>
            <w:r>
              <w:rPr>
                <w:sz w:val="24"/>
                <w:vertAlign w:val="subscript"/>
              </w:rPr>
              <w:t xml:space="preserve">ном</w:t>
            </w:r>
            <w:r>
              <w:rPr>
                <w:sz w:val="24"/>
              </w:rPr>
              <w:t xml:space="preserve"> - для цепей с двойной или усиленной изоляцией.</w:t>
            </w:r>
          </w:p>
        </w:tc>
      </w:tr>
    </w:tbl>
    <w:p>
      <w:pPr>
        <w:sectPr>
          <w:headerReference w:type="default" r:id="rId36"/>
          <w:headerReference w:type="first" r:id="rId36"/>
          <w:footerReference w:type="default" r:id="rId37"/>
          <w:footerReference w:type="first" r:id="rId37"/>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t xml:space="preserve">5.5.5.3 Электрическая изоляция цепей с различными номинальными напряжениями должна выдерживать приложенное между ними испытательное напряжение, соответствующее наибольшему номинальному напряжению испытуемых цепей.</w:t>
      </w:r>
    </w:p>
    <w:bookmarkStart w:id="324" w:name="P324"/>
    <w:bookmarkEnd w:id="324"/>
    <w:p>
      <w:pPr>
        <w:pStyle w:val="0"/>
        <w:spacing w:before="240" w:lineRule="auto"/>
        <w:ind w:firstLine="540"/>
        <w:jc w:val="both"/>
      </w:pPr>
      <w:r>
        <w:rPr>
          <w:sz w:val="24"/>
        </w:rPr>
        <w:t xml:space="preserve">5.5.5.4 Минимально допустимое электрическое сопротивление изоляции цепей номинальным напряжением до 500 В выбирают из ряда, МОм: 20; 40; 100; 500; 1000.</w:t>
      </w:r>
    </w:p>
    <w:p>
      <w:pPr>
        <w:pStyle w:val="0"/>
        <w:spacing w:before="240" w:lineRule="auto"/>
        <w:ind w:firstLine="540"/>
        <w:jc w:val="both"/>
      </w:pPr>
      <w:r>
        <w:rPr>
          <w:sz w:val="24"/>
        </w:rPr>
        <w:t xml:space="preserve">5.5.5.5 Для электрических цепей напряжением до 100 В допускается снижать значение минимального допускаемого электрического сопротивления изоляции, но не менее 1 МОм.</w:t>
      </w:r>
    </w:p>
    <w:p>
      <w:pPr>
        <w:pStyle w:val="0"/>
        <w:spacing w:before="240" w:lineRule="auto"/>
        <w:ind w:firstLine="540"/>
        <w:jc w:val="both"/>
      </w:pPr>
      <w:r>
        <w:rPr>
          <w:sz w:val="24"/>
        </w:rPr>
        <w:t xml:space="preserve">5.5.5.6 Минимально допустимое электрическое сопротивление изоляции цепей номинальным напряжением свыше 500 В определяют умножением значений, указанных в </w:t>
      </w:r>
      <w:hyperlink w:history="0" w:anchor="P324" w:tooltip="5.5.5.4 Минимально допустимое электрическое сопротивление изоляции цепей номинальным напряжением до 500 В выбирают из ряда, МОм: 20; 40; 100; 500; 1000.">
        <w:r>
          <w:rPr>
            <w:sz w:val="24"/>
            <w:color w:val="0000ff"/>
          </w:rPr>
          <w:t xml:space="preserve">5.5.5.4</w:t>
        </w:r>
      </w:hyperlink>
      <w:r>
        <w:rPr>
          <w:sz w:val="24"/>
        </w:rPr>
        <w:t xml:space="preserve">, на коэффициент, равный отношению номинального напряжения цепи к 500 В.</w:t>
      </w:r>
    </w:p>
    <w:p>
      <w:pPr>
        <w:pStyle w:val="0"/>
        <w:ind w:firstLine="540"/>
        <w:jc w:val="both"/>
      </w:pPr>
      <w:r>
        <w:rPr>
          <w:sz w:val="24"/>
        </w:rPr>
      </w:r>
    </w:p>
    <w:p>
      <w:pPr>
        <w:pStyle w:val="2"/>
        <w:outlineLvl w:val="2"/>
        <w:ind w:firstLine="540"/>
        <w:jc w:val="both"/>
      </w:pPr>
      <w:r>
        <w:rPr>
          <w:sz w:val="24"/>
          <w:b w:val="on"/>
        </w:rPr>
        <w:t xml:space="preserve">5.6 Требования к маркировке</w:t>
      </w:r>
    </w:p>
    <w:p>
      <w:pPr>
        <w:pStyle w:val="0"/>
        <w:ind w:firstLine="540"/>
        <w:jc w:val="both"/>
      </w:pPr>
      <w:r>
        <w:rPr>
          <w:sz w:val="24"/>
        </w:rPr>
      </w:r>
    </w:p>
    <w:p>
      <w:pPr>
        <w:pStyle w:val="0"/>
        <w:ind w:firstLine="540"/>
        <w:jc w:val="both"/>
      </w:pPr>
      <w:r>
        <w:rPr>
          <w:sz w:val="24"/>
        </w:rPr>
        <w:t xml:space="preserve">5.6.1 Маркировка ОП должна содержать:</w:t>
      </w:r>
    </w:p>
    <w:bookmarkStart w:id="331" w:name="P331"/>
    <w:bookmarkEnd w:id="331"/>
    <w:p>
      <w:pPr>
        <w:pStyle w:val="0"/>
        <w:spacing w:before="240" w:lineRule="auto"/>
        <w:ind w:firstLine="540"/>
        <w:jc w:val="both"/>
      </w:pPr>
      <w:r>
        <w:rPr>
          <w:sz w:val="24"/>
        </w:rPr>
        <w:t xml:space="preserve">а) условное обозначение ОП;</w:t>
      </w:r>
    </w:p>
    <w:p>
      <w:pPr>
        <w:pStyle w:val="0"/>
        <w:spacing w:before="240" w:lineRule="auto"/>
        <w:ind w:firstLine="540"/>
        <w:jc w:val="both"/>
      </w:pPr>
      <w:r>
        <w:rPr>
          <w:sz w:val="24"/>
        </w:rPr>
        <w:t xml:space="preserve">б) наименование или торговую марку предприятия-изготовителя;</w:t>
      </w:r>
    </w:p>
    <w:bookmarkStart w:id="333" w:name="P333"/>
    <w:bookmarkEnd w:id="333"/>
    <w:p>
      <w:pPr>
        <w:pStyle w:val="0"/>
        <w:spacing w:before="240" w:lineRule="auto"/>
        <w:ind w:firstLine="540"/>
        <w:jc w:val="both"/>
      </w:pPr>
      <w:r>
        <w:rPr>
          <w:sz w:val="24"/>
        </w:rPr>
        <w:t xml:space="preserve">в) обозначение электрических выводов для внешних подключений;</w:t>
      </w:r>
    </w:p>
    <w:bookmarkStart w:id="334" w:name="P334"/>
    <w:bookmarkEnd w:id="334"/>
    <w:p>
      <w:pPr>
        <w:pStyle w:val="0"/>
        <w:spacing w:before="240" w:lineRule="auto"/>
        <w:ind w:firstLine="540"/>
        <w:jc w:val="both"/>
      </w:pPr>
      <w:r>
        <w:rPr>
          <w:sz w:val="24"/>
        </w:rPr>
        <w:t xml:space="preserve">г) дату изготовления ОП;</w:t>
      </w:r>
    </w:p>
    <w:p>
      <w:pPr>
        <w:pStyle w:val="0"/>
        <w:spacing w:before="240" w:lineRule="auto"/>
        <w:ind w:firstLine="540"/>
        <w:jc w:val="both"/>
      </w:pPr>
      <w:r>
        <w:rPr>
          <w:sz w:val="24"/>
        </w:rPr>
        <w:t xml:space="preserve">д) степень защиты ОП оболочкой;</w:t>
      </w:r>
    </w:p>
    <w:p>
      <w:pPr>
        <w:pStyle w:val="0"/>
        <w:spacing w:before="240" w:lineRule="auto"/>
        <w:ind w:firstLine="540"/>
        <w:jc w:val="both"/>
      </w:pPr>
      <w:r>
        <w:rPr>
          <w:sz w:val="24"/>
        </w:rPr>
        <w:t xml:space="preserve">е) знак обращения на рынке;</w:t>
      </w:r>
    </w:p>
    <w:p>
      <w:pPr>
        <w:pStyle w:val="0"/>
        <w:spacing w:before="240" w:lineRule="auto"/>
        <w:ind w:firstLine="540"/>
        <w:jc w:val="both"/>
      </w:pPr>
      <w:r>
        <w:rPr>
          <w:sz w:val="24"/>
        </w:rPr>
        <w:t xml:space="preserve">ж) обозначение нормативного или технического документа, которому соответствует устройство (технические условия, стандарт и т.д.).</w:t>
      </w:r>
    </w:p>
    <w:p>
      <w:pPr>
        <w:pStyle w:val="0"/>
        <w:spacing w:before="240" w:lineRule="auto"/>
        <w:ind w:firstLine="540"/>
        <w:jc w:val="both"/>
      </w:pPr>
      <w:r>
        <w:rPr>
          <w:sz w:val="24"/>
        </w:rPr>
        <w:t xml:space="preserve">5.6.2 Место и способ нанесения маркировки должны быть указаны в ТД на ОП конкретных типов.</w:t>
      </w:r>
    </w:p>
    <w:p>
      <w:pPr>
        <w:pStyle w:val="0"/>
        <w:spacing w:before="240" w:lineRule="auto"/>
        <w:ind w:firstLine="540"/>
        <w:jc w:val="both"/>
      </w:pPr>
      <w:r>
        <w:rPr>
          <w:sz w:val="24"/>
        </w:rPr>
        <w:t xml:space="preserve">5.6.3 Дополнительные необходимые надписи устанавливают в ТД на ОП конкретных типов.</w:t>
      </w:r>
    </w:p>
    <w:p>
      <w:pPr>
        <w:pStyle w:val="0"/>
        <w:spacing w:before="240" w:lineRule="auto"/>
        <w:ind w:firstLine="540"/>
        <w:jc w:val="both"/>
      </w:pPr>
      <w:r>
        <w:rPr>
          <w:sz w:val="24"/>
        </w:rPr>
        <w:t xml:space="preserve">5.6.4 При невозможности нанесения всех элементов маркировки на корпусе ОП их приводят в этикетке (или иной ТД) на ОП конкретных типов. При этом на корпусе ОП должна быть нанесена маркировка по </w:t>
      </w:r>
      <w:hyperlink w:history="0" w:anchor="P331" w:tooltip="а) условное обозначение ОП;">
        <w:r>
          <w:rPr>
            <w:sz w:val="24"/>
            <w:color w:val="0000ff"/>
          </w:rPr>
          <w:t xml:space="preserve">5.6.1, перечисления а)</w:t>
        </w:r>
      </w:hyperlink>
      <w:r>
        <w:rPr>
          <w:sz w:val="24"/>
        </w:rPr>
        <w:t xml:space="preserve"> и </w:t>
      </w:r>
      <w:hyperlink w:history="0" w:anchor="P334" w:tooltip="г) дату изготовления ОП;">
        <w:r>
          <w:rPr>
            <w:sz w:val="24"/>
            <w:color w:val="0000ff"/>
          </w:rPr>
          <w:t xml:space="preserve">г)</w:t>
        </w:r>
      </w:hyperlink>
      <w:r>
        <w:rPr>
          <w:sz w:val="24"/>
        </w:rPr>
        <w:t xml:space="preserve">. В технически обоснованных случаях маркировка по </w:t>
      </w:r>
      <w:hyperlink w:history="0" w:anchor="P333" w:tooltip="в) обозначение электрических выводов для внешних подключений;">
        <w:r>
          <w:rPr>
            <w:sz w:val="24"/>
            <w:color w:val="0000ff"/>
          </w:rPr>
          <w:t xml:space="preserve">5.6.1, перечисление в)</w:t>
        </w:r>
      </w:hyperlink>
      <w:r>
        <w:rPr>
          <w:sz w:val="24"/>
        </w:rPr>
        <w:t xml:space="preserve">, может быть расположена на базовом основании.</w:t>
      </w:r>
    </w:p>
    <w:p>
      <w:pPr>
        <w:pStyle w:val="0"/>
        <w:ind w:firstLine="540"/>
        <w:jc w:val="both"/>
      </w:pPr>
      <w:r>
        <w:rPr>
          <w:sz w:val="24"/>
        </w:rPr>
      </w:r>
    </w:p>
    <w:p>
      <w:pPr>
        <w:pStyle w:val="2"/>
        <w:outlineLvl w:val="2"/>
        <w:ind w:firstLine="540"/>
        <w:jc w:val="both"/>
      </w:pPr>
      <w:r>
        <w:rPr>
          <w:sz w:val="24"/>
          <w:b w:val="on"/>
        </w:rPr>
        <w:t xml:space="preserve">5.7 Требования к комплектности</w:t>
      </w:r>
    </w:p>
    <w:p>
      <w:pPr>
        <w:pStyle w:val="0"/>
        <w:ind w:firstLine="540"/>
        <w:jc w:val="both"/>
      </w:pPr>
      <w:r>
        <w:rPr>
          <w:sz w:val="24"/>
        </w:rPr>
      </w:r>
    </w:p>
    <w:p>
      <w:pPr>
        <w:pStyle w:val="0"/>
        <w:ind w:firstLine="540"/>
        <w:jc w:val="both"/>
      </w:pPr>
      <w:r>
        <w:rPr>
          <w:sz w:val="24"/>
        </w:rPr>
        <w:t xml:space="preserve">5.7.1 Перечень и число прилагаемых присоединительных деталей и приспособлений, запасных частей и принадлежностей должны быть установлены в ТД на ОП конкретных типов.</w:t>
      </w:r>
    </w:p>
    <w:p>
      <w:pPr>
        <w:pStyle w:val="0"/>
        <w:spacing w:before="240" w:lineRule="auto"/>
        <w:ind w:firstLine="540"/>
        <w:jc w:val="both"/>
      </w:pPr>
      <w:r>
        <w:rPr>
          <w:sz w:val="24"/>
        </w:rPr>
        <w:t xml:space="preserve">5.7.2 К ОП следует прилагать эксплуатационную документацию. Эксплуатационная документация должна содержать необходимые сведения по монтажу и эксплуатации ОП с указанием объема и рекомендуемой периодичности технического обслуживания.</w:t>
      </w:r>
    </w:p>
    <w:p>
      <w:pPr>
        <w:pStyle w:val="0"/>
        <w:ind w:firstLine="540"/>
        <w:jc w:val="both"/>
      </w:pPr>
      <w:r>
        <w:rPr>
          <w:sz w:val="24"/>
        </w:rPr>
      </w:r>
    </w:p>
    <w:p>
      <w:pPr>
        <w:pStyle w:val="2"/>
        <w:outlineLvl w:val="2"/>
        <w:ind w:firstLine="540"/>
        <w:jc w:val="both"/>
      </w:pPr>
      <w:r>
        <w:rPr>
          <w:sz w:val="24"/>
          <w:b w:val="on"/>
        </w:rPr>
        <w:t xml:space="preserve">5.8 Требования к упаковке</w:t>
      </w:r>
    </w:p>
    <w:p>
      <w:pPr>
        <w:pStyle w:val="0"/>
        <w:ind w:firstLine="540"/>
        <w:jc w:val="both"/>
      </w:pPr>
      <w:r>
        <w:rPr>
          <w:sz w:val="24"/>
        </w:rPr>
      </w:r>
    </w:p>
    <w:p>
      <w:pPr>
        <w:pStyle w:val="0"/>
        <w:ind w:firstLine="540"/>
        <w:jc w:val="both"/>
      </w:pPr>
      <w:r>
        <w:rPr>
          <w:sz w:val="24"/>
        </w:rPr>
        <w:t xml:space="preserve">5.8.1 ОП должны быть упакованы в индивидуальную или групповую упаковку.</w:t>
      </w:r>
    </w:p>
    <w:p>
      <w:pPr>
        <w:pStyle w:val="0"/>
        <w:spacing w:before="240" w:lineRule="auto"/>
        <w:ind w:firstLine="540"/>
        <w:jc w:val="both"/>
      </w:pPr>
      <w:r>
        <w:rPr>
          <w:sz w:val="24"/>
        </w:rPr>
        <w:t xml:space="preserve">5.8.2 Упаковка должна обеспечивать сохранность ОП при транспортировании и хранении.</w:t>
      </w:r>
    </w:p>
    <w:p>
      <w:pPr>
        <w:pStyle w:val="0"/>
        <w:spacing w:before="240" w:lineRule="auto"/>
        <w:ind w:firstLine="540"/>
        <w:jc w:val="both"/>
      </w:pPr>
      <w:r>
        <w:rPr>
          <w:sz w:val="24"/>
        </w:rPr>
        <w:t xml:space="preserve">5.8.3 Требования к упаковке должны быть указаны в ТД на ОП конкретных типов.</w:t>
      </w:r>
    </w:p>
    <w:p>
      <w:pPr>
        <w:pStyle w:val="0"/>
        <w:ind w:firstLine="540"/>
        <w:jc w:val="both"/>
      </w:pPr>
      <w:r>
        <w:rPr>
          <w:sz w:val="24"/>
        </w:rPr>
      </w:r>
    </w:p>
    <w:p>
      <w:pPr>
        <w:pStyle w:val="2"/>
        <w:outlineLvl w:val="2"/>
        <w:ind w:firstLine="540"/>
        <w:jc w:val="both"/>
      </w:pPr>
      <w:r>
        <w:rPr>
          <w:sz w:val="24"/>
          <w:b w:val="on"/>
        </w:rPr>
        <w:t xml:space="preserve">5.9 Требования безопасности</w:t>
      </w:r>
    </w:p>
    <w:p>
      <w:pPr>
        <w:pStyle w:val="0"/>
        <w:ind w:firstLine="540"/>
        <w:jc w:val="both"/>
      </w:pPr>
      <w:r>
        <w:rPr>
          <w:sz w:val="24"/>
        </w:rPr>
      </w:r>
    </w:p>
    <w:p>
      <w:pPr>
        <w:pStyle w:val="0"/>
        <w:ind w:firstLine="540"/>
        <w:jc w:val="both"/>
      </w:pPr>
      <w:r>
        <w:rPr>
          <w:sz w:val="24"/>
        </w:rPr>
        <w:t xml:space="preserve">5.9.1 ОП должны быть выполнены с учетом обеспечения их пожарной безопасности по </w:t>
      </w:r>
      <w:hyperlink w:history="0" r:id="rId38" w:tooltip="&quot;ГОСТ 12.1.004-91. Межгосударственный стандарт. Система стандартов безопасности труда. Пожарная безопасность. Общие требования&quot; (утв. Постановлением Госстандарта СССР от 14.06.1991 N 875) (ред. от 01.10.1993) {КонсультантПлюс}">
        <w:r>
          <w:rPr>
            <w:sz w:val="24"/>
            <w:color w:val="0000ff"/>
          </w:rPr>
          <w:t xml:space="preserve">ГОСТ 12.1.004</w:t>
        </w:r>
      </w:hyperlink>
      <w:r>
        <w:rPr>
          <w:sz w:val="24"/>
        </w:rPr>
        <w:t xml:space="preserve">.</w:t>
      </w:r>
    </w:p>
    <w:bookmarkStart w:id="356" w:name="P356"/>
    <w:bookmarkEnd w:id="356"/>
    <w:p>
      <w:pPr>
        <w:pStyle w:val="0"/>
        <w:spacing w:before="240" w:lineRule="auto"/>
        <w:ind w:firstLine="540"/>
        <w:jc w:val="both"/>
      </w:pPr>
      <w:r>
        <w:rPr>
          <w:sz w:val="24"/>
        </w:rPr>
        <w:t xml:space="preserve">5.9.2 При нормальной работе и при работе в условиях неисправности ни один из элементов конструкции ОП не должен иметь температуру выше допустимых значений, установленных в </w:t>
      </w:r>
      <w:hyperlink w:history="0" r:id="rId39" w:tooltip="&quot;ГОСТ IEC 60065-2013. Межгосударственный стандарт. Аудио-, видео- и аналогичная электронная аппаратура. Требования безопасности&quot; (введен в действие Приказом Росстандарта от 02.04.2014 N 291-ст) ------------ Утратил силу или отменен {КонсультантПлюс}">
        <w:r>
          <w:rPr>
            <w:sz w:val="24"/>
            <w:color w:val="0000ff"/>
          </w:rPr>
          <w:t xml:space="preserve">ГОСТ IEC 60065</w:t>
        </w:r>
      </w:hyperlink>
      <w:r>
        <w:rPr>
          <w:sz w:val="24"/>
        </w:rPr>
        <w:t xml:space="preserve">.</w:t>
      </w:r>
    </w:p>
    <w:p>
      <w:pPr>
        <w:pStyle w:val="0"/>
        <w:spacing w:before="240" w:lineRule="auto"/>
        <w:ind w:firstLine="540"/>
        <w:jc w:val="both"/>
      </w:pPr>
      <w:r>
        <w:rPr>
          <w:sz w:val="24"/>
        </w:rPr>
        <w:t xml:space="preserve">5.9.3 ОП должны соответствовать требованиям электробезопасности и обеспечивать безопасность обслуживающего персонала при монтаже и регламентных работах и соответствовать </w:t>
      </w:r>
      <w:hyperlink w:history="0" r:id="rId40" w:tooltip="&quot;ГОСТ 12.2.007.0-75. Межгосударственный стандарт. Система стандартов безопасности труда. Изделия электротехнические. Общие требования безопасности&quot; (введен в действие Постановлением Госстандарта СССР от 10.09.1975 N 2368) (ред. от 01.06.1988) {КонсультантПлюс}">
        <w:r>
          <w:rPr>
            <w:sz w:val="24"/>
            <w:color w:val="0000ff"/>
          </w:rPr>
          <w:t xml:space="preserve">ГОСТ 12.2.007.0</w:t>
        </w:r>
      </w:hyperlink>
      <w:r>
        <w:rPr>
          <w:sz w:val="24"/>
        </w:rPr>
        <w:t xml:space="preserve">.</w:t>
      </w:r>
    </w:p>
    <w:p>
      <w:pPr>
        <w:pStyle w:val="0"/>
        <w:spacing w:before="240" w:lineRule="auto"/>
        <w:ind w:firstLine="540"/>
        <w:jc w:val="both"/>
      </w:pPr>
      <w:r>
        <w:rPr>
          <w:sz w:val="24"/>
        </w:rPr>
        <w:t xml:space="preserve">5.9.4 Требования к ОП, предназначенным для установки и/или эксплуатации во взрывоопасных зонах, должны соответствовать требованиям нормативных документов по взрывозащите.</w:t>
      </w:r>
    </w:p>
    <w:p>
      <w:pPr>
        <w:pStyle w:val="0"/>
        <w:ind w:firstLine="540"/>
        <w:jc w:val="both"/>
      </w:pPr>
      <w:r>
        <w:rPr>
          <w:sz w:val="24"/>
        </w:rPr>
      </w:r>
    </w:p>
    <w:p>
      <w:pPr>
        <w:pStyle w:val="2"/>
        <w:outlineLvl w:val="1"/>
        <w:ind w:firstLine="540"/>
        <w:jc w:val="both"/>
      </w:pPr>
      <w:r>
        <w:rPr>
          <w:sz w:val="24"/>
          <w:b w:val="on"/>
        </w:rPr>
        <w:t xml:space="preserve">6 Правила приемки</w:t>
      </w:r>
    </w:p>
    <w:p>
      <w:pPr>
        <w:pStyle w:val="0"/>
        <w:ind w:firstLine="540"/>
        <w:jc w:val="both"/>
      </w:pPr>
      <w:r>
        <w:rPr>
          <w:sz w:val="24"/>
        </w:rPr>
      </w:r>
    </w:p>
    <w:p>
      <w:pPr>
        <w:pStyle w:val="0"/>
        <w:ind w:firstLine="540"/>
        <w:jc w:val="both"/>
      </w:pPr>
      <w:r>
        <w:rPr>
          <w:sz w:val="24"/>
        </w:rPr>
        <w:t xml:space="preserve">6.1 ОП в процессе постановки на производство должны проходить приемочные, квалификационные испытания и испытания на надежность. ОП в процессе серийного производства следует подвергать следующим видам испытаний:</w:t>
      </w:r>
    </w:p>
    <w:p>
      <w:pPr>
        <w:pStyle w:val="0"/>
        <w:spacing w:before="240" w:lineRule="auto"/>
        <w:ind w:firstLine="540"/>
        <w:jc w:val="both"/>
      </w:pPr>
      <w:r>
        <w:rPr>
          <w:sz w:val="24"/>
        </w:rPr>
        <w:t xml:space="preserve">- приемо-сдаточные;</w:t>
      </w:r>
    </w:p>
    <w:p>
      <w:pPr>
        <w:pStyle w:val="0"/>
        <w:spacing w:before="240" w:lineRule="auto"/>
        <w:ind w:firstLine="540"/>
        <w:jc w:val="both"/>
      </w:pPr>
      <w:r>
        <w:rPr>
          <w:sz w:val="24"/>
        </w:rPr>
        <w:t xml:space="preserve">- периодические;</w:t>
      </w:r>
    </w:p>
    <w:p>
      <w:pPr>
        <w:pStyle w:val="0"/>
        <w:spacing w:before="240" w:lineRule="auto"/>
        <w:ind w:firstLine="540"/>
        <w:jc w:val="both"/>
      </w:pPr>
      <w:r>
        <w:rPr>
          <w:sz w:val="24"/>
        </w:rPr>
        <w:t xml:space="preserve">- типовые;</w:t>
      </w:r>
    </w:p>
    <w:p>
      <w:pPr>
        <w:pStyle w:val="0"/>
        <w:spacing w:before="240" w:lineRule="auto"/>
        <w:ind w:firstLine="540"/>
        <w:jc w:val="both"/>
      </w:pPr>
      <w:r>
        <w:rPr>
          <w:sz w:val="24"/>
        </w:rPr>
        <w:t xml:space="preserve">- испытания по подтверждению соответствия ОП требованиям технических регламентов.</w:t>
      </w:r>
    </w:p>
    <w:p>
      <w:pPr>
        <w:pStyle w:val="0"/>
        <w:spacing w:before="240" w:lineRule="auto"/>
        <w:ind w:firstLine="540"/>
        <w:jc w:val="both"/>
      </w:pPr>
      <w:r>
        <w:rPr>
          <w:sz w:val="24"/>
        </w:rPr>
        <w:t xml:space="preserve">6.2 Приемочные испытания ОП проводят на образцах опытной партии. Объем и методы проведения приемочных испытаний определяются предприятием-изготовителем и согласовываются с разработчиком ОП.</w:t>
      </w:r>
    </w:p>
    <w:p>
      <w:pPr>
        <w:pStyle w:val="0"/>
        <w:spacing w:before="240" w:lineRule="auto"/>
        <w:ind w:firstLine="540"/>
        <w:jc w:val="both"/>
      </w:pPr>
      <w:r>
        <w:rPr>
          <w:sz w:val="24"/>
        </w:rPr>
        <w:t xml:space="preserve">6.3 Квалификационные испытания проводят в целях оценки готовности предприятия-изготовителя к выпуску ОП в заданном объеме. К испытаниям предъявляется один образец из партии, изготовленной по конструкторской документации для серийного производства. Объем и методы проведения квалификационных испытаний определяются предприятием-изготовителем и согласовываются с разработчиком ОП. При положительных результатах квалификационных испытаний освоение производства считается законченным, а изготовленная продукция может быть поставлена потребителю (заказчику) по утвержденной ТД.</w:t>
      </w:r>
    </w:p>
    <w:p>
      <w:pPr>
        <w:pStyle w:val="0"/>
        <w:spacing w:before="240" w:lineRule="auto"/>
        <w:ind w:firstLine="540"/>
        <w:jc w:val="both"/>
      </w:pPr>
      <w:r>
        <w:rPr>
          <w:sz w:val="24"/>
        </w:rPr>
        <w:t xml:space="preserve">6.4 Приемо-сдаточные испытания проводятся предприятием-изготовителем на каждом произведенном ОП в целях принятия решения о его пригодности к поставке потребителю (заказчику). Объем и методы проведения приемо-сдаточных испытаний определяются предприятием-изготовителем и устанавливаются в ТД на ОП конкретных типов.</w:t>
      </w:r>
    </w:p>
    <w:p>
      <w:pPr>
        <w:pStyle w:val="0"/>
        <w:spacing w:before="240" w:lineRule="auto"/>
        <w:ind w:firstLine="540"/>
        <w:jc w:val="both"/>
      </w:pPr>
      <w:r>
        <w:rPr>
          <w:sz w:val="24"/>
        </w:rPr>
        <w:t xml:space="preserve">6.5 Периодические испытания продукции проводят в целях контроля стабильности технологического процесса и качества продукции. Испытания проводят не реже одного раза в пять лет на образцах ОП, прошедших приемо-сдаточные испытания. Объем и методы проведения периодических испытаний определяются предприятием-изготовителем и устанавливаются в ТД на ОП конкретных типов.</w:t>
      </w:r>
    </w:p>
    <w:p>
      <w:pPr>
        <w:pStyle w:val="0"/>
        <w:spacing w:before="240" w:lineRule="auto"/>
        <w:ind w:firstLine="540"/>
        <w:jc w:val="both"/>
      </w:pPr>
      <w:r>
        <w:rPr>
          <w:sz w:val="24"/>
        </w:rPr>
        <w:t xml:space="preserve">6.6 Типовые испытания проводят при введении изменений в электрическую принципиальную схему или конструкцию ОП, изменении технологических процессов при производстве, а также при смене контрагентных организаций, поставляющих компоненты для производства ОП, влияющие на технические параметры, установленные настоящим стандартом. Объем и методы проведения типовых испытаний определяются предприятием-изготовителем.</w:t>
      </w:r>
    </w:p>
    <w:p>
      <w:pPr>
        <w:pStyle w:val="0"/>
        <w:spacing w:before="240" w:lineRule="auto"/>
        <w:ind w:firstLine="540"/>
        <w:jc w:val="both"/>
      </w:pPr>
      <w:r>
        <w:rPr>
          <w:sz w:val="24"/>
        </w:rPr>
        <w:t xml:space="preserve">6.7 Испытания проводят по программе, приведенной в </w:t>
      </w:r>
      <w:hyperlink w:history="0" w:anchor="P377" w:tooltip="Программа испытаний ОП">
        <w:r>
          <w:rPr>
            <w:sz w:val="24"/>
            <w:color w:val="0000ff"/>
          </w:rPr>
          <w:t xml:space="preserve">таблице 6.1</w:t>
        </w:r>
      </w:hyperlink>
      <w:r>
        <w:rPr>
          <w:sz w:val="24"/>
        </w:rPr>
        <w:t xml:space="preserve">. Для проведения испытаний методом случайной выборки отбирают шесть ОП.</w:t>
      </w:r>
    </w:p>
    <w:p>
      <w:pPr>
        <w:pStyle w:val="0"/>
        <w:spacing w:before="240" w:lineRule="auto"/>
        <w:ind w:firstLine="540"/>
        <w:jc w:val="both"/>
      </w:pPr>
      <w:r>
        <w:rPr>
          <w:sz w:val="24"/>
        </w:rPr>
        <w:t xml:space="preserve">Примечание - Объем выборки и программа испытаний могут быть иными в зависимости от вида испытаний</w:t>
      </w:r>
    </w:p>
    <w:p>
      <w:pPr>
        <w:pStyle w:val="0"/>
        <w:ind w:firstLine="540"/>
        <w:jc w:val="both"/>
      </w:pPr>
      <w:r>
        <w:rPr>
          <w:sz w:val="24"/>
        </w:rPr>
      </w:r>
    </w:p>
    <w:p>
      <w:pPr>
        <w:pStyle w:val="0"/>
        <w:jc w:val="right"/>
      </w:pPr>
      <w:r>
        <w:rPr>
          <w:sz w:val="24"/>
        </w:rPr>
        <w:t xml:space="preserve">Таблица 6.1</w:t>
      </w:r>
    </w:p>
    <w:p>
      <w:pPr>
        <w:pStyle w:val="0"/>
        <w:ind w:firstLine="540"/>
        <w:jc w:val="both"/>
      </w:pPr>
      <w:r>
        <w:rPr>
          <w:sz w:val="24"/>
        </w:rPr>
      </w:r>
    </w:p>
    <w:bookmarkStart w:id="377" w:name="P377"/>
    <w:bookmarkEnd w:id="377"/>
    <w:p>
      <w:pPr>
        <w:pStyle w:val="0"/>
        <w:jc w:val="center"/>
      </w:pPr>
      <w:r>
        <w:rPr>
          <w:sz w:val="24"/>
        </w:rPr>
        <w:t xml:space="preserve">Программа испытаний ОП</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12"/>
        <w:gridCol w:w="1531"/>
        <w:gridCol w:w="1361"/>
        <w:gridCol w:w="566"/>
        <w:gridCol w:w="566"/>
        <w:gridCol w:w="566"/>
        <w:gridCol w:w="566"/>
        <w:gridCol w:w="566"/>
        <w:gridCol w:w="566"/>
      </w:tblGrid>
      <w:tr>
        <w:tc>
          <w:tcPr>
            <w:tcW w:w="3912" w:type="dxa"/>
            <w:vAlign w:val="center"/>
            <w:vMerge w:val="restart"/>
          </w:tcPr>
          <w:p>
            <w:pPr>
              <w:pStyle w:val="0"/>
              <w:jc w:val="center"/>
            </w:pPr>
            <w:r>
              <w:rPr>
                <w:sz w:val="24"/>
              </w:rPr>
              <w:t xml:space="preserve">Наименование испытаний</w:t>
            </w:r>
          </w:p>
        </w:tc>
        <w:tc>
          <w:tcPr>
            <w:gridSpan w:val="2"/>
            <w:tcW w:w="2892" w:type="dxa"/>
            <w:vAlign w:val="center"/>
          </w:tcPr>
          <w:p>
            <w:pPr>
              <w:pStyle w:val="0"/>
              <w:jc w:val="center"/>
            </w:pPr>
            <w:r>
              <w:rPr>
                <w:sz w:val="24"/>
              </w:rPr>
              <w:t xml:space="preserve">Номер пункта, подпункта</w:t>
            </w:r>
          </w:p>
        </w:tc>
        <w:tc>
          <w:tcPr>
            <w:gridSpan w:val="6"/>
            <w:tcW w:w="3396" w:type="dxa"/>
            <w:vAlign w:val="center"/>
          </w:tcPr>
          <w:p>
            <w:pPr>
              <w:pStyle w:val="0"/>
              <w:jc w:val="center"/>
            </w:pPr>
            <w:r>
              <w:rPr>
                <w:sz w:val="24"/>
              </w:rPr>
              <w:t xml:space="preserve">Номер образца оповещателя</w:t>
            </w:r>
          </w:p>
        </w:tc>
      </w:tr>
      <w:tr>
        <w:tc>
          <w:tcPr>
            <w:vMerge w:val="continue"/>
          </w:tcPr>
          <w:p/>
        </w:tc>
        <w:tc>
          <w:tcPr>
            <w:tcW w:w="1531" w:type="dxa"/>
            <w:vAlign w:val="center"/>
          </w:tcPr>
          <w:p>
            <w:pPr>
              <w:pStyle w:val="0"/>
              <w:jc w:val="center"/>
            </w:pPr>
            <w:r>
              <w:rPr>
                <w:sz w:val="24"/>
              </w:rPr>
              <w:t xml:space="preserve">Технические требования</w:t>
            </w:r>
          </w:p>
        </w:tc>
        <w:tc>
          <w:tcPr>
            <w:tcW w:w="1361" w:type="dxa"/>
            <w:vAlign w:val="center"/>
          </w:tcPr>
          <w:p>
            <w:pPr>
              <w:pStyle w:val="0"/>
              <w:jc w:val="center"/>
            </w:pPr>
            <w:r>
              <w:rPr>
                <w:sz w:val="24"/>
              </w:rPr>
              <w:t xml:space="preserve">Метод испытания</w:t>
            </w:r>
          </w:p>
        </w:tc>
        <w:tc>
          <w:tcPr>
            <w:tcW w:w="566" w:type="dxa"/>
            <w:vAlign w:val="center"/>
          </w:tcPr>
          <w:p>
            <w:pPr>
              <w:pStyle w:val="0"/>
              <w:jc w:val="center"/>
            </w:pPr>
            <w:r>
              <w:rPr>
                <w:sz w:val="24"/>
              </w:rPr>
              <w:t xml:space="preserve">1</w:t>
            </w:r>
          </w:p>
        </w:tc>
        <w:tc>
          <w:tcPr>
            <w:tcW w:w="566" w:type="dxa"/>
            <w:vAlign w:val="center"/>
          </w:tcPr>
          <w:p>
            <w:pPr>
              <w:pStyle w:val="0"/>
              <w:jc w:val="center"/>
            </w:pPr>
            <w:r>
              <w:rPr>
                <w:sz w:val="24"/>
              </w:rPr>
              <w:t xml:space="preserve">2</w:t>
            </w:r>
          </w:p>
        </w:tc>
        <w:tc>
          <w:tcPr>
            <w:tcW w:w="566" w:type="dxa"/>
            <w:vAlign w:val="center"/>
          </w:tcPr>
          <w:p>
            <w:pPr>
              <w:pStyle w:val="0"/>
              <w:jc w:val="center"/>
            </w:pPr>
            <w:r>
              <w:rPr>
                <w:sz w:val="24"/>
              </w:rPr>
              <w:t xml:space="preserve">3</w:t>
            </w:r>
          </w:p>
        </w:tc>
        <w:tc>
          <w:tcPr>
            <w:tcW w:w="566" w:type="dxa"/>
            <w:vAlign w:val="center"/>
          </w:tcPr>
          <w:p>
            <w:pPr>
              <w:pStyle w:val="0"/>
              <w:jc w:val="center"/>
            </w:pPr>
            <w:r>
              <w:rPr>
                <w:sz w:val="24"/>
              </w:rPr>
              <w:t xml:space="preserve">4</w:t>
            </w:r>
          </w:p>
        </w:tc>
        <w:tc>
          <w:tcPr>
            <w:tcW w:w="566" w:type="dxa"/>
            <w:vAlign w:val="center"/>
          </w:tcPr>
          <w:p>
            <w:pPr>
              <w:pStyle w:val="0"/>
              <w:jc w:val="center"/>
            </w:pPr>
            <w:r>
              <w:rPr>
                <w:sz w:val="24"/>
              </w:rPr>
              <w:t xml:space="preserve">5</w:t>
            </w:r>
          </w:p>
        </w:tc>
        <w:tc>
          <w:tcPr>
            <w:tcW w:w="566" w:type="dxa"/>
            <w:vAlign w:val="center"/>
          </w:tcPr>
          <w:p>
            <w:pPr>
              <w:pStyle w:val="0"/>
              <w:jc w:val="center"/>
            </w:pPr>
            <w:r>
              <w:rPr>
                <w:sz w:val="24"/>
              </w:rPr>
              <w:t xml:space="preserve">6</w:t>
            </w:r>
          </w:p>
        </w:tc>
      </w:tr>
      <w:tr>
        <w:tc>
          <w:tcPr>
            <w:tcW w:w="3912" w:type="dxa"/>
          </w:tcPr>
          <w:p>
            <w:pPr>
              <w:pStyle w:val="0"/>
            </w:pPr>
            <w:r>
              <w:rPr>
                <w:sz w:val="24"/>
              </w:rPr>
              <w:t xml:space="preserve">1 Проверка функционирования</w:t>
            </w:r>
          </w:p>
        </w:tc>
        <w:tc>
          <w:tcPr>
            <w:tcW w:w="1531" w:type="dxa"/>
          </w:tcPr>
          <w:p>
            <w:pPr>
              <w:pStyle w:val="0"/>
              <w:jc w:val="center"/>
            </w:pP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p>
        </w:tc>
        <w:tc>
          <w:tcPr>
            <w:tcW w:w="1361" w:type="dxa"/>
          </w:tcPr>
          <w:p>
            <w:pPr>
              <w:pStyle w:val="0"/>
              <w:jc w:val="center"/>
            </w:pPr>
            <w:r>
              <w:rPr>
                <w:sz w:val="24"/>
              </w:rPr>
              <w:t xml:space="preserve">По </w:t>
            </w:r>
            <w:hyperlink w:history="0" w:anchor="P582" w:tooltip="8.1 Проверка функционирования">
              <w:r>
                <w:rPr>
                  <w:sz w:val="24"/>
                  <w:color w:val="0000ff"/>
                </w:rPr>
                <w:t xml:space="preserve">8.1</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2 Размеры информационных знаков ОПС</w:t>
            </w:r>
          </w:p>
        </w:tc>
        <w:tc>
          <w:tcPr>
            <w:tcW w:w="1531" w:type="dxa"/>
          </w:tcPr>
          <w:p>
            <w:pPr>
              <w:pStyle w:val="0"/>
              <w:jc w:val="center"/>
            </w:pP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p>
        </w:tc>
        <w:tc>
          <w:tcPr>
            <w:tcW w:w="1361" w:type="dxa"/>
          </w:tcPr>
          <w:p>
            <w:pPr>
              <w:pStyle w:val="0"/>
              <w:jc w:val="center"/>
            </w:pPr>
            <w:r>
              <w:rPr>
                <w:sz w:val="24"/>
              </w:rPr>
              <w:t xml:space="preserve">По </w:t>
            </w:r>
            <w:hyperlink w:history="0" w:anchor="P589" w:tooltip="8.2 Размер информационных знаков ОПС">
              <w:r>
                <w:rPr>
                  <w:sz w:val="24"/>
                  <w:color w:val="0000ff"/>
                </w:rPr>
                <w:t xml:space="preserve">8.2</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3 Цвета ОПС и отображаемых на них информационных знаков</w:t>
            </w:r>
          </w:p>
        </w:tc>
        <w:tc>
          <w:tcPr>
            <w:tcW w:w="1531" w:type="dxa"/>
          </w:tcPr>
          <w:p>
            <w:pPr>
              <w:pStyle w:val="0"/>
              <w:jc w:val="center"/>
            </w:pPr>
            <w:hyperlink w:history="0" w:anchor="P183" w:tooltip="5.1.8 Цвета ОПС и отображаемых на них информационных знаков должны быть следующими:">
              <w:r>
                <w:rPr>
                  <w:sz w:val="24"/>
                  <w:color w:val="0000ff"/>
                </w:rPr>
                <w:t xml:space="preserve">5.1.8</w:t>
              </w:r>
            </w:hyperlink>
          </w:p>
        </w:tc>
        <w:tc>
          <w:tcPr>
            <w:tcW w:w="1361" w:type="dxa"/>
          </w:tcPr>
          <w:p>
            <w:pPr>
              <w:pStyle w:val="0"/>
              <w:jc w:val="center"/>
            </w:pPr>
            <w:r>
              <w:rPr>
                <w:sz w:val="24"/>
              </w:rPr>
              <w:t xml:space="preserve">По </w:t>
            </w:r>
            <w:hyperlink w:history="0" w:anchor="P595" w:tooltip="8.3 Цвета ОПС и отображаемых на них информационных знаков">
              <w:r>
                <w:rPr>
                  <w:sz w:val="24"/>
                  <w:color w:val="0000ff"/>
                </w:rPr>
                <w:t xml:space="preserve">8.3</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4 Частота мигания (мигающие ОПС)</w:t>
            </w:r>
          </w:p>
        </w:tc>
        <w:tc>
          <w:tcPr>
            <w:tcW w:w="1531" w:type="dxa"/>
          </w:tcPr>
          <w:p>
            <w:pPr>
              <w:pStyle w:val="0"/>
              <w:jc w:val="center"/>
            </w:pP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p>
        </w:tc>
        <w:tc>
          <w:tcPr>
            <w:tcW w:w="1361" w:type="dxa"/>
          </w:tcPr>
          <w:p>
            <w:pPr>
              <w:pStyle w:val="0"/>
              <w:jc w:val="center"/>
            </w:pPr>
            <w:r>
              <w:rPr>
                <w:sz w:val="24"/>
              </w:rPr>
              <w:t xml:space="preserve">По </w:t>
            </w:r>
            <w:hyperlink w:history="0" w:anchor="P601" w:tooltip="8.4 Частота мигания (мигающие ОПС)">
              <w:r>
                <w:rPr>
                  <w:sz w:val="24"/>
                  <w:color w:val="0000ff"/>
                </w:rPr>
                <w:t xml:space="preserve">8.4</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5 Уровень звукового давления (ОПЗ и ОПР)</w:t>
            </w:r>
          </w:p>
        </w:tc>
        <w:tc>
          <w:tcPr>
            <w:tcW w:w="1531" w:type="dxa"/>
          </w:tcPr>
          <w:p>
            <w:pPr>
              <w:pStyle w:val="0"/>
              <w:jc w:val="center"/>
            </w:pP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p>
        </w:tc>
        <w:tc>
          <w:tcPr>
            <w:tcW w:w="1361" w:type="dxa"/>
          </w:tcPr>
          <w:p>
            <w:pPr>
              <w:pStyle w:val="0"/>
              <w:jc w:val="center"/>
            </w:pPr>
            <w:r>
              <w:rPr>
                <w:sz w:val="24"/>
              </w:rPr>
              <w:t xml:space="preserve">По </w:t>
            </w:r>
            <w:hyperlink w:history="0" w:anchor="P606" w:tooltip="8.5 Уровень звукового давления (ОПЗ и ОПР)">
              <w:r>
                <w:rPr>
                  <w:sz w:val="24"/>
                  <w:color w:val="0000ff"/>
                </w:rPr>
                <w:t xml:space="preserve">8.5</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6 Диапазон частот (ОПЗ и ОПР)</w:t>
            </w:r>
          </w:p>
        </w:tc>
        <w:tc>
          <w:tcPr>
            <w:tcW w:w="1531" w:type="dxa"/>
          </w:tcPr>
          <w:p>
            <w:pPr>
              <w:pStyle w:val="0"/>
              <w:jc w:val="center"/>
            </w:pPr>
            <w:hyperlink w:history="0" w:anchor="P178" w:tooltip="5.1.6 Частота генерируемых ОПЗ сигналов должна быть в пределах полосы от 200 до 5000 Гц. В технически обоснованных случаях допускается расширение предела до 10 000 Гц. Частотная характеристика сигналов должна быть установлена в ТД на ОПЗ конкретных типов.">
              <w:r>
                <w:rPr>
                  <w:sz w:val="24"/>
                  <w:color w:val="0000ff"/>
                </w:rPr>
                <w:t xml:space="preserve">5.1.6</w:t>
              </w:r>
            </w:hyperlink>
            <w:r>
              <w:rPr>
                <w:sz w:val="24"/>
              </w:rPr>
              <w:t xml:space="preserve">, </w:t>
            </w:r>
            <w:hyperlink w:history="0" w:anchor="P193" w:tooltip="5.1.12 Диапазон воспроизводимых частот должен быть указан в ТД на ОПР конкретных типов, но не уже, чем от 500 до 3500 Гц при неравномерности амплитудно-частотной характеристики в диапазоне не более 16 дБ.">
              <w:r>
                <w:rPr>
                  <w:sz w:val="24"/>
                  <w:color w:val="0000ff"/>
                </w:rPr>
                <w:t xml:space="preserve">5.1.12</w:t>
              </w:r>
            </w:hyperlink>
          </w:p>
        </w:tc>
        <w:tc>
          <w:tcPr>
            <w:tcW w:w="1361" w:type="dxa"/>
          </w:tcPr>
          <w:p>
            <w:pPr>
              <w:pStyle w:val="0"/>
              <w:jc w:val="center"/>
            </w:pPr>
            <w:r>
              <w:rPr>
                <w:sz w:val="24"/>
              </w:rPr>
              <w:t xml:space="preserve">По </w:t>
            </w:r>
            <w:hyperlink w:history="0" w:anchor="P620" w:tooltip="8.6 Диапазон частот (ОПЗ и ОПР)">
              <w:r>
                <w:rPr>
                  <w:sz w:val="24"/>
                  <w:color w:val="0000ff"/>
                </w:rPr>
                <w:t xml:space="preserve">8.6</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7 Мощность, подводимая к вибромотору (для вибрационных ОПИ)</w:t>
            </w:r>
          </w:p>
        </w:tc>
        <w:tc>
          <w:tcPr>
            <w:tcW w:w="1531" w:type="dxa"/>
          </w:tcPr>
          <w:p>
            <w:pPr>
              <w:pStyle w:val="0"/>
              <w:jc w:val="center"/>
            </w:pP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p>
        </w:tc>
        <w:tc>
          <w:tcPr>
            <w:tcW w:w="1361" w:type="dxa"/>
          </w:tcPr>
          <w:p>
            <w:pPr>
              <w:pStyle w:val="0"/>
              <w:jc w:val="center"/>
            </w:pPr>
            <w:r>
              <w:rPr>
                <w:sz w:val="24"/>
              </w:rPr>
              <w:t xml:space="preserve">По </w:t>
            </w:r>
            <w:hyperlink w:history="0" w:anchor="P633" w:tooltip="8.7 Мощность, подводимая к вибромотору (для вибрационных ОПИ)">
              <w:r>
                <w:rPr>
                  <w:sz w:val="24"/>
                  <w:color w:val="0000ff"/>
                </w:rPr>
                <w:t xml:space="preserve">8.7</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8 Значение токовых воздействий (для электротоковых ОПИ)</w:t>
            </w:r>
          </w:p>
        </w:tc>
        <w:tc>
          <w:tcPr>
            <w:tcW w:w="1531" w:type="dxa"/>
          </w:tcPr>
          <w:p>
            <w:pPr>
              <w:pStyle w:val="0"/>
              <w:jc w:val="center"/>
            </w:pP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p>
        </w:tc>
        <w:tc>
          <w:tcPr>
            <w:tcW w:w="1361" w:type="dxa"/>
          </w:tcPr>
          <w:p>
            <w:pPr>
              <w:pStyle w:val="0"/>
              <w:jc w:val="center"/>
            </w:pPr>
            <w:r>
              <w:rPr>
                <w:sz w:val="24"/>
              </w:rPr>
              <w:t xml:space="preserve">По </w:t>
            </w:r>
            <w:hyperlink w:history="0" w:anchor="P638" w:tooltip="8.8 Значение токовых воздействий (для электротоковых ОПИ)">
              <w:r>
                <w:rPr>
                  <w:sz w:val="24"/>
                  <w:color w:val="0000ff"/>
                </w:rPr>
                <w:t xml:space="preserve">8.8</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9 Изменение напряжения питания</w:t>
            </w:r>
          </w:p>
        </w:tc>
        <w:tc>
          <w:tcPr>
            <w:tcW w:w="1531" w:type="dxa"/>
          </w:tcPr>
          <w:p>
            <w:pPr>
              <w:pStyle w:val="0"/>
              <w:jc w:val="center"/>
            </w:pPr>
            <w:hyperlink w:history="0" w:anchor="P232" w:tooltip="5.1.19 ОП должны сохранять работоспособность при изменении напряжения их питания в диапазоне, установленном в ТД на ОП конкретных типов, но не менее диапазона от 0,75Uном до 1,15Uном, где Uном - номинальное значение напряжения питания ОП.">
              <w:r>
                <w:rPr>
                  <w:sz w:val="24"/>
                  <w:color w:val="0000ff"/>
                </w:rPr>
                <w:t xml:space="preserve">5.1.19</w:t>
              </w:r>
            </w:hyperlink>
          </w:p>
        </w:tc>
        <w:tc>
          <w:tcPr>
            <w:tcW w:w="1361" w:type="dxa"/>
          </w:tcPr>
          <w:p>
            <w:pPr>
              <w:pStyle w:val="0"/>
              <w:jc w:val="center"/>
            </w:pPr>
            <w:r>
              <w:rPr>
                <w:sz w:val="24"/>
              </w:rPr>
              <w:t xml:space="preserve">По </w:t>
            </w:r>
            <w:hyperlink w:history="0" w:anchor="P644" w:tooltip="8.9 Изменение напряжения питания">
              <w:r>
                <w:rPr>
                  <w:sz w:val="24"/>
                  <w:color w:val="0000ff"/>
                </w:rPr>
                <w:t xml:space="preserve">8.9</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10 Сухое тепло. Устойчивость</w:t>
            </w:r>
          </w:p>
        </w:tc>
        <w:tc>
          <w:tcPr>
            <w:tcW w:w="1531" w:type="dxa"/>
          </w:tcPr>
          <w:p>
            <w:pPr>
              <w:pStyle w:val="0"/>
              <w:jc w:val="center"/>
            </w:pPr>
            <w:hyperlink w:history="0" w:anchor="P248" w:tooltip="5.2.1 ОП должны сохранять работоспособность при и после воздействия на них повышенной температуры окружающей среды, указанной в ТД на ОП конкретных типов. Максимальная температура, при которой ОП должны сохранять работоспособность, должна быть не ниже 55 °C.">
              <w:r>
                <w:rPr>
                  <w:sz w:val="24"/>
                  <w:color w:val="0000ff"/>
                </w:rPr>
                <w:t xml:space="preserve">5.2.1</w:t>
              </w:r>
            </w:hyperlink>
          </w:p>
        </w:tc>
        <w:tc>
          <w:tcPr>
            <w:tcW w:w="1361" w:type="dxa"/>
          </w:tcPr>
          <w:p>
            <w:pPr>
              <w:pStyle w:val="0"/>
              <w:jc w:val="center"/>
            </w:pPr>
            <w:r>
              <w:rPr>
                <w:sz w:val="24"/>
              </w:rPr>
              <w:t xml:space="preserve">По </w:t>
            </w:r>
            <w:hyperlink w:history="0" w:anchor="P652" w:tooltip="8.10 Сухое тепло. Устойчивость">
              <w:r>
                <w:rPr>
                  <w:sz w:val="24"/>
                  <w:color w:val="0000ff"/>
                </w:rPr>
                <w:t xml:space="preserve">8.10</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11 Холод. Устойчивость</w:t>
            </w:r>
          </w:p>
        </w:tc>
        <w:tc>
          <w:tcPr>
            <w:tcW w:w="1531" w:type="dxa"/>
          </w:tcPr>
          <w:p>
            <w:pPr>
              <w:pStyle w:val="0"/>
              <w:jc w:val="center"/>
            </w:pPr>
            <w:hyperlink w:history="0" w:anchor="P249" w:tooltip="5.2.2 ОП должны сохранять работоспособность при и после воздействия на них пониженной температуры окружающей среды, указанной в ТД на ОП конкретных типов. Минимальная температура, при которой ОП должны сохранять работоспособность, должна быть не выше минус 10 °C.">
              <w:r>
                <w:rPr>
                  <w:sz w:val="24"/>
                  <w:color w:val="0000ff"/>
                </w:rPr>
                <w:t xml:space="preserve">5.2.2</w:t>
              </w:r>
            </w:hyperlink>
          </w:p>
        </w:tc>
        <w:tc>
          <w:tcPr>
            <w:tcW w:w="1361" w:type="dxa"/>
          </w:tcPr>
          <w:p>
            <w:pPr>
              <w:pStyle w:val="0"/>
              <w:jc w:val="center"/>
            </w:pPr>
            <w:r>
              <w:rPr>
                <w:sz w:val="24"/>
              </w:rPr>
              <w:t xml:space="preserve">По </w:t>
            </w:r>
            <w:hyperlink w:history="0" w:anchor="P664" w:tooltip="8.11 Холод. Устойчивость">
              <w:r>
                <w:rPr>
                  <w:sz w:val="24"/>
                  <w:color w:val="0000ff"/>
                </w:rPr>
                <w:t xml:space="preserve">8.11</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12 Влажное тепло. Устойчивость</w:t>
            </w:r>
          </w:p>
        </w:tc>
        <w:tc>
          <w:tcPr>
            <w:tcW w:w="1531" w:type="dxa"/>
          </w:tcPr>
          <w:p>
            <w:pPr>
              <w:pStyle w:val="0"/>
              <w:jc w:val="center"/>
            </w:pPr>
            <w:hyperlink w:history="0" w:anchor="P250" w:tooltip="5.2.3 ОП должны сохранять работоспособность:">
              <w:r>
                <w:rPr>
                  <w:sz w:val="24"/>
                  <w:color w:val="0000ff"/>
                </w:rPr>
                <w:t xml:space="preserve">5.2.3</w:t>
              </w:r>
            </w:hyperlink>
          </w:p>
        </w:tc>
        <w:tc>
          <w:tcPr>
            <w:tcW w:w="1361" w:type="dxa"/>
          </w:tcPr>
          <w:p>
            <w:pPr>
              <w:pStyle w:val="0"/>
              <w:jc w:val="center"/>
            </w:pPr>
            <w:r>
              <w:rPr>
                <w:sz w:val="24"/>
              </w:rPr>
              <w:t xml:space="preserve">По </w:t>
            </w:r>
            <w:hyperlink w:history="0" w:anchor="P676" w:tooltip="8.12 Влажное тепло. Устойчивость">
              <w:r>
                <w:rPr>
                  <w:sz w:val="24"/>
                  <w:color w:val="0000ff"/>
                </w:rPr>
                <w:t xml:space="preserve">8.12</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13 Прямой механический удар. Устойчивость (кроме ОПИ)</w:t>
            </w:r>
          </w:p>
        </w:tc>
        <w:tc>
          <w:tcPr>
            <w:tcW w:w="1531" w:type="dxa"/>
          </w:tcPr>
          <w:p>
            <w:pPr>
              <w:pStyle w:val="0"/>
              <w:jc w:val="center"/>
            </w:pPr>
            <w:hyperlink w:history="0" w:anchor="P254" w:tooltip="5.2.5 ОП (кроме ОПИ) должны быть устойчивы к воздействию прямого механического удара с энергией 1,9 Дж.">
              <w:r>
                <w:rPr>
                  <w:sz w:val="24"/>
                  <w:color w:val="0000ff"/>
                </w:rPr>
                <w:t xml:space="preserve">5.2.5</w:t>
              </w:r>
            </w:hyperlink>
          </w:p>
        </w:tc>
        <w:tc>
          <w:tcPr>
            <w:tcW w:w="1361" w:type="dxa"/>
          </w:tcPr>
          <w:p>
            <w:pPr>
              <w:pStyle w:val="0"/>
              <w:jc w:val="center"/>
            </w:pPr>
            <w:r>
              <w:rPr>
                <w:sz w:val="24"/>
              </w:rPr>
              <w:t xml:space="preserve">По </w:t>
            </w:r>
            <w:hyperlink w:history="0" w:anchor="P700" w:tooltip="8.13 Прямой механический удар. Устойчивость (кроме ОПИ)">
              <w:r>
                <w:rPr>
                  <w:sz w:val="24"/>
                  <w:color w:val="0000ff"/>
                </w:rPr>
                <w:t xml:space="preserve">8.13</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14 Синусоидальная вибрация. Устойчивость</w:t>
            </w:r>
          </w:p>
        </w:tc>
        <w:tc>
          <w:tcPr>
            <w:tcW w:w="1531" w:type="dxa"/>
          </w:tcPr>
          <w:p>
            <w:pPr>
              <w:pStyle w:val="0"/>
              <w:jc w:val="center"/>
            </w:pPr>
            <w:hyperlink w:history="0" w:anchor="P253" w:tooltip="5.2.4 ОП должны сохранять работоспособность при и после воздействия синусоидальной вибрации. Параметры воздействия устанавливают в ТД на ОП конкретных типов.">
              <w:r>
                <w:rPr>
                  <w:sz w:val="24"/>
                  <w:color w:val="0000ff"/>
                </w:rPr>
                <w:t xml:space="preserve">5.2.4</w:t>
              </w:r>
            </w:hyperlink>
          </w:p>
        </w:tc>
        <w:tc>
          <w:tcPr>
            <w:tcW w:w="1361" w:type="dxa"/>
          </w:tcPr>
          <w:p>
            <w:pPr>
              <w:pStyle w:val="0"/>
              <w:jc w:val="center"/>
            </w:pPr>
            <w:r>
              <w:rPr>
                <w:sz w:val="24"/>
              </w:rPr>
              <w:t xml:space="preserve">По </w:t>
            </w:r>
            <w:hyperlink w:history="0" w:anchor="P714" w:tooltip="8.14 Синусоидальная вибрация. Устойчивость">
              <w:r>
                <w:rPr>
                  <w:sz w:val="24"/>
                  <w:color w:val="0000ff"/>
                </w:rPr>
                <w:t xml:space="preserve">8.14</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15 Электрическая прочность и сопротивление изоляции</w:t>
            </w:r>
          </w:p>
        </w:tc>
        <w:tc>
          <w:tcPr>
            <w:tcW w:w="1531" w:type="dxa"/>
          </w:tcPr>
          <w:p>
            <w:pPr>
              <w:pStyle w:val="0"/>
              <w:jc w:val="center"/>
            </w:pPr>
            <w:hyperlink w:history="0" w:anchor="P284" w:tooltip="5.5.5 Значения электрической прочности и сопротивления изоляции должны соответствовать требованиям нормативных документов, действующих на территории государства - участника Соглашения, принявшего настоящий стандарт &lt;*&gt;, и быть установлены в ТД на ОП конкретных типов.">
              <w:r>
                <w:rPr>
                  <w:sz w:val="24"/>
                  <w:color w:val="0000ff"/>
                </w:rPr>
                <w:t xml:space="preserve">5.5.5</w:t>
              </w:r>
            </w:hyperlink>
          </w:p>
        </w:tc>
        <w:tc>
          <w:tcPr>
            <w:tcW w:w="1361" w:type="dxa"/>
          </w:tcPr>
          <w:p>
            <w:pPr>
              <w:pStyle w:val="0"/>
              <w:jc w:val="center"/>
            </w:pPr>
            <w:r>
              <w:rPr>
                <w:sz w:val="24"/>
              </w:rPr>
              <w:t xml:space="preserve">По </w:t>
            </w:r>
            <w:hyperlink w:history="0" w:anchor="P726" w:tooltip="8.15 Электрическая прочность и сопротивление изоляции">
              <w:r>
                <w:rPr>
                  <w:sz w:val="24"/>
                  <w:color w:val="0000ff"/>
                </w:rPr>
                <w:t xml:space="preserve">8.15</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16 Электромагнитная совместимость</w:t>
            </w:r>
          </w:p>
        </w:tc>
        <w:tc>
          <w:tcPr>
            <w:tcW w:w="1531" w:type="dxa"/>
          </w:tcPr>
          <w:p>
            <w:pPr>
              <w:pStyle w:val="0"/>
              <w:jc w:val="center"/>
            </w:pPr>
            <w:hyperlink w:history="0" w:anchor="P262" w:tooltip="5.3 Требования электромагнитной совместимости">
              <w:r>
                <w:rPr>
                  <w:sz w:val="24"/>
                  <w:color w:val="0000ff"/>
                </w:rPr>
                <w:t xml:space="preserve">5.3</w:t>
              </w:r>
            </w:hyperlink>
          </w:p>
        </w:tc>
        <w:tc>
          <w:tcPr>
            <w:tcW w:w="1361" w:type="dxa"/>
          </w:tcPr>
          <w:p>
            <w:pPr>
              <w:pStyle w:val="0"/>
              <w:jc w:val="center"/>
            </w:pPr>
            <w:r>
              <w:rPr>
                <w:sz w:val="24"/>
              </w:rPr>
              <w:t xml:space="preserve">По </w:t>
            </w:r>
            <w:hyperlink w:history="0" w:anchor="P733" w:tooltip="8.16 Электромагнитная совместимость">
              <w:r>
                <w:rPr>
                  <w:sz w:val="24"/>
                  <w:color w:val="0000ff"/>
                </w:rPr>
                <w:t xml:space="preserve">8.16</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17 Пожарная безопасность</w:t>
            </w:r>
          </w:p>
        </w:tc>
        <w:tc>
          <w:tcPr>
            <w:tcW w:w="1531" w:type="dxa"/>
          </w:tcPr>
          <w:p>
            <w:pPr>
              <w:pStyle w:val="0"/>
              <w:jc w:val="center"/>
            </w:pPr>
            <w:hyperlink w:history="0" w:anchor="P356" w:tooltip="5.9.2 При нормальной работе и при работе в условиях неисправности ни один из элементов конструкции ОП не должен иметь температуру выше допустимых значений, установленных в ГОСТ IEC 60065.">
              <w:r>
                <w:rPr>
                  <w:sz w:val="24"/>
                  <w:color w:val="0000ff"/>
                </w:rPr>
                <w:t xml:space="preserve">5.9.2</w:t>
              </w:r>
            </w:hyperlink>
          </w:p>
        </w:tc>
        <w:tc>
          <w:tcPr>
            <w:tcW w:w="1361" w:type="dxa"/>
          </w:tcPr>
          <w:p>
            <w:pPr>
              <w:pStyle w:val="0"/>
              <w:jc w:val="center"/>
            </w:pPr>
            <w:r>
              <w:rPr>
                <w:sz w:val="24"/>
              </w:rPr>
              <w:t xml:space="preserve">По </w:t>
            </w:r>
            <w:hyperlink w:history="0" w:anchor="P739" w:tooltip="8.17 Пожарная безопасность">
              <w:r>
                <w:rPr>
                  <w:sz w:val="24"/>
                  <w:color w:val="0000ff"/>
                </w:rPr>
                <w:t xml:space="preserve">8.17</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18 Прочность ОП в упаковке к климатическим и механическим воздействиям</w:t>
            </w:r>
          </w:p>
        </w:tc>
        <w:tc>
          <w:tcPr>
            <w:tcW w:w="1531" w:type="dxa"/>
          </w:tcPr>
          <w:p>
            <w:pPr>
              <w:pStyle w:val="0"/>
              <w:jc w:val="center"/>
            </w:pPr>
            <w:hyperlink w:history="0" w:anchor="P255" w:tooltip="5.2.6 ОП в упаковке должны быть прочными к воздействию повышенной и пониженной температуры, а также повышенной относительной влажности воздуха с параметрами воздействия, указанными в ТД на ОП конкретных типов. При этом значение повышенной температуры должно быть не менее 55 °C, значение пониженной температуры - не более минус 25 °C, значение относительной влажности воздуха - не менее 93% при температуре плюс 40 °C.">
              <w:r>
                <w:rPr>
                  <w:sz w:val="24"/>
                  <w:color w:val="0000ff"/>
                </w:rPr>
                <w:t xml:space="preserve">5.2.6</w:t>
              </w:r>
            </w:hyperlink>
            <w:r>
              <w:rPr>
                <w:sz w:val="24"/>
              </w:rPr>
              <w:t xml:space="preserve">, </w:t>
            </w:r>
            <w:hyperlink w:history="0" w:anchor="P256" w:tooltip="5.2.7 ОП в упаковке должны сохранять работоспособность после воздействия на них многократных механических ударов со следующими параметрами:">
              <w:r>
                <w:rPr>
                  <w:sz w:val="24"/>
                  <w:color w:val="0000ff"/>
                </w:rPr>
                <w:t xml:space="preserve">5.2.7</w:t>
              </w:r>
            </w:hyperlink>
          </w:p>
        </w:tc>
        <w:tc>
          <w:tcPr>
            <w:tcW w:w="1361" w:type="dxa"/>
          </w:tcPr>
          <w:p>
            <w:pPr>
              <w:pStyle w:val="0"/>
              <w:jc w:val="center"/>
            </w:pPr>
            <w:r>
              <w:rPr>
                <w:sz w:val="24"/>
              </w:rPr>
              <w:t xml:space="preserve">По </w:t>
            </w:r>
            <w:hyperlink w:history="0" w:anchor="P747" w:tooltip="8.18 Прочность ОП в упаковке к климатическим и механическим воздействиям">
              <w:r>
                <w:rPr>
                  <w:sz w:val="24"/>
                  <w:color w:val="0000ff"/>
                </w:rPr>
                <w:t xml:space="preserve">8.18</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tcW w:w="3912" w:type="dxa"/>
          </w:tcPr>
          <w:p>
            <w:pPr>
              <w:pStyle w:val="0"/>
            </w:pPr>
            <w:r>
              <w:rPr>
                <w:sz w:val="24"/>
              </w:rPr>
              <w:t xml:space="preserve">19 Отсутствие влияния неисправности ОП при пожаре на работоспособность других ОП, подключенных к тем же проводным линиям связи</w:t>
            </w:r>
          </w:p>
        </w:tc>
        <w:tc>
          <w:tcPr>
            <w:tcW w:w="1531" w:type="dxa"/>
          </w:tcPr>
          <w:p>
            <w:pPr>
              <w:pStyle w:val="0"/>
              <w:jc w:val="center"/>
            </w:pPr>
            <w:hyperlink w:history="0" w:anchor="P244" w:tooltip="5.1.24 Возникновение неисправности в ОП с подключенными внешними проводными линиями (линии электропитания, связи) в результате теплового воздействия при пожаре не должно оказывать влияние на работоспособность других ОП, подключенных к данным проводным линиям. Выполнение данного требования должно быть обеспечено техническими решениями, определяемыми изготовителем. Применение плавких вставок в качестве основных элементов защиты от короткого замыкания не допускается.">
              <w:r>
                <w:rPr>
                  <w:sz w:val="24"/>
                  <w:color w:val="0000ff"/>
                </w:rPr>
                <w:t xml:space="preserve">5.1.24</w:t>
              </w:r>
            </w:hyperlink>
          </w:p>
        </w:tc>
        <w:tc>
          <w:tcPr>
            <w:tcW w:w="1361" w:type="dxa"/>
          </w:tcPr>
          <w:p>
            <w:pPr>
              <w:pStyle w:val="0"/>
              <w:jc w:val="center"/>
            </w:pPr>
            <w:r>
              <w:rPr>
                <w:sz w:val="24"/>
              </w:rPr>
              <w:t xml:space="preserve">По </w:t>
            </w:r>
            <w:hyperlink w:history="0" w:anchor="P779" w:tooltip="8.19 Отсутствие влияния неисправности ОП при пожаре на работоспособность других ОП, подключенных к тем же проводным линиям связи">
              <w:r>
                <w:rPr>
                  <w:sz w:val="24"/>
                  <w:color w:val="0000ff"/>
                </w:rPr>
                <w:t xml:space="preserve">8.19</w:t>
              </w:r>
            </w:hyperlink>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c>
          <w:tcPr>
            <w:tcW w:w="566" w:type="dxa"/>
          </w:tcPr>
          <w:p>
            <w:pPr>
              <w:pStyle w:val="0"/>
              <w:jc w:val="center"/>
            </w:pPr>
            <w:r>
              <w:rPr>
                <w:sz w:val="24"/>
              </w:rPr>
              <w:t xml:space="preserve">-</w:t>
            </w:r>
          </w:p>
        </w:tc>
      </w:tr>
      <w:tr>
        <w:tc>
          <w:tcPr>
            <w:gridSpan w:val="9"/>
            <w:tcW w:w="10200" w:type="dxa"/>
          </w:tcPr>
          <w:p>
            <w:pPr>
              <w:pStyle w:val="0"/>
              <w:ind w:firstLine="283"/>
              <w:jc w:val="both"/>
            </w:pPr>
            <w:r>
              <w:rPr>
                <w:sz w:val="24"/>
              </w:rPr>
              <w:t xml:space="preserve">Примечание - знак "+" означает, что испытания проводят, знак "-" - испытания не проводят.</w:t>
            </w:r>
          </w:p>
        </w:tc>
      </w:tr>
    </w:tbl>
    <w:p>
      <w:pPr>
        <w:pStyle w:val="0"/>
        <w:ind w:firstLine="540"/>
        <w:jc w:val="both"/>
      </w:pPr>
      <w:r>
        <w:rPr>
          <w:sz w:val="24"/>
        </w:rPr>
      </w:r>
    </w:p>
    <w:p>
      <w:pPr>
        <w:pStyle w:val="2"/>
        <w:outlineLvl w:val="1"/>
        <w:ind w:firstLine="540"/>
        <w:jc w:val="both"/>
      </w:pPr>
      <w:r>
        <w:rPr>
          <w:sz w:val="24"/>
          <w:b w:val="on"/>
        </w:rPr>
        <w:t xml:space="preserve">7 Общие требования к испытаниям</w:t>
      </w:r>
    </w:p>
    <w:p>
      <w:pPr>
        <w:pStyle w:val="0"/>
        <w:ind w:firstLine="540"/>
        <w:jc w:val="both"/>
      </w:pPr>
      <w:r>
        <w:rPr>
          <w:sz w:val="24"/>
        </w:rPr>
      </w:r>
    </w:p>
    <w:p>
      <w:pPr>
        <w:pStyle w:val="0"/>
        <w:ind w:firstLine="540"/>
        <w:jc w:val="both"/>
      </w:pPr>
      <w:r>
        <w:rPr>
          <w:sz w:val="24"/>
        </w:rPr>
        <w:t xml:space="preserve">7.1 Погрешность измерения параметров при проведении испытаний не должна превышать 10%, если иные требования не установлены в конкретном пункте методов испытаний настоящего стандарта.</w:t>
      </w:r>
    </w:p>
    <w:p>
      <w:pPr>
        <w:pStyle w:val="0"/>
        <w:spacing w:before="240" w:lineRule="auto"/>
        <w:ind w:firstLine="540"/>
        <w:jc w:val="both"/>
      </w:pPr>
      <w:r>
        <w:rPr>
          <w:sz w:val="24"/>
        </w:rPr>
        <w:t xml:space="preserve">7.2 Если ОП предназначены для работы с ППУ-ТСО, то их соединение с ППУ-ТСО или прибором, его заменяющим, должно быть выполнено в соответствии с инструкцией предприятия-изготовителя.</w:t>
      </w:r>
    </w:p>
    <w:p>
      <w:pPr>
        <w:pStyle w:val="0"/>
        <w:spacing w:before="240" w:lineRule="auto"/>
        <w:ind w:firstLine="540"/>
        <w:jc w:val="both"/>
      </w:pPr>
      <w:r>
        <w:rPr>
          <w:sz w:val="24"/>
        </w:rPr>
        <w:t xml:space="preserve">7.3 Испытания проводят в нормальных климатических условиях:</w:t>
      </w:r>
    </w:p>
    <w:p>
      <w:pPr>
        <w:pStyle w:val="0"/>
        <w:spacing w:before="240" w:lineRule="auto"/>
        <w:ind w:firstLine="540"/>
        <w:jc w:val="both"/>
      </w:pPr>
      <w:r>
        <w:rPr>
          <w:sz w:val="24"/>
        </w:rPr>
        <w:t xml:space="preserve">- температура от 15 °C до 35 °C;</w:t>
      </w:r>
    </w:p>
    <w:p>
      <w:pPr>
        <w:pStyle w:val="0"/>
        <w:spacing w:before="240" w:lineRule="auto"/>
        <w:ind w:firstLine="540"/>
        <w:jc w:val="both"/>
      </w:pPr>
      <w:r>
        <w:rPr>
          <w:sz w:val="24"/>
        </w:rPr>
        <w:t xml:space="preserve">- относительная влажность от 45% до 75%;</w:t>
      </w:r>
    </w:p>
    <w:p>
      <w:pPr>
        <w:pStyle w:val="0"/>
        <w:spacing w:before="240" w:lineRule="auto"/>
        <w:ind w:firstLine="540"/>
        <w:jc w:val="both"/>
      </w:pPr>
      <w:r>
        <w:rPr>
          <w:sz w:val="24"/>
        </w:rPr>
        <w:t xml:space="preserve">- атмосферное давление от 86 до 106 кПа.</w:t>
      </w:r>
    </w:p>
    <w:p>
      <w:pPr>
        <w:pStyle w:val="0"/>
        <w:spacing w:before="240" w:lineRule="auto"/>
        <w:ind w:firstLine="540"/>
        <w:jc w:val="both"/>
      </w:pPr>
      <w:r>
        <w:rPr>
          <w:sz w:val="24"/>
        </w:rPr>
        <w:t xml:space="preserve">7.4 Если при проведении испытаний требуется, чтобы ОП находились в дежурном режиме, то они должны быть подключены к ППУ-ТСО (для радиоканальных ОП должна быть обеспечена радиосвязь с ППУ-ТСО) или оборудованию, его заменяющему. Если в соответствии с ТД ОП должны или могут комплектоваться базовыми основаниями, то испытания проводят с ОП, установленными в базовые основания.</w:t>
      </w:r>
    </w:p>
    <w:p>
      <w:pPr>
        <w:pStyle w:val="0"/>
        <w:spacing w:before="240" w:lineRule="auto"/>
        <w:ind w:firstLine="540"/>
        <w:jc w:val="both"/>
      </w:pPr>
      <w:r>
        <w:rPr>
          <w:sz w:val="24"/>
        </w:rPr>
        <w:t xml:space="preserve">7.5 Значения параметров питания, подаваемого на ОП, должны быть номинальными или выбираться из диапазона, указанного предприятием-изготовителем, если иные требования не приведены в конкретном пункте методов испытаний.</w:t>
      </w:r>
    </w:p>
    <w:p>
      <w:pPr>
        <w:pStyle w:val="0"/>
        <w:spacing w:before="240" w:lineRule="auto"/>
        <w:ind w:firstLine="540"/>
        <w:jc w:val="both"/>
      </w:pPr>
      <w:r>
        <w:rPr>
          <w:sz w:val="24"/>
        </w:rPr>
        <w:t xml:space="preserve">7.6 Определение уровня звукового давления, создаваемого ОПЗ или ОПР, частотной характеристики звуковых и речевых сигналов ОПЗ и ОПР, частоты мигания ОПС при проведении испытаний по показателям назначения ОП с перестраиваемыми указанными параметрами проводят как минимум два раза с разными установленными (запрограммированными) значениями этих параметров. Значения устанавливаемых уровней звукового давления, создаваемого ОПЗ или ОПР, частотной характеристики звуковых и речевых сигналов ОПЗ и ОПР, частоты мигания ОПС при проведении испытаний определяются испытательной лабораторией по результатам анализа ТД на ОП конкретного типа.</w:t>
      </w:r>
    </w:p>
    <w:p>
      <w:pPr>
        <w:pStyle w:val="0"/>
        <w:spacing w:before="240" w:lineRule="auto"/>
        <w:ind w:firstLine="540"/>
        <w:jc w:val="both"/>
      </w:pPr>
      <w:r>
        <w:rPr>
          <w:sz w:val="24"/>
        </w:rPr>
        <w:t xml:space="preserve">Примечание - Рекомендуется выбирать минимальное и максимальное (или близкие к ним) значения настраиваемых параметров.</w:t>
      </w:r>
    </w:p>
    <w:p>
      <w:pPr>
        <w:pStyle w:val="0"/>
        <w:ind w:firstLine="540"/>
        <w:jc w:val="both"/>
      </w:pPr>
      <w:r>
        <w:rPr>
          <w:sz w:val="24"/>
        </w:rPr>
      </w:r>
    </w:p>
    <w:p>
      <w:pPr>
        <w:pStyle w:val="0"/>
        <w:ind w:firstLine="540"/>
        <w:jc w:val="both"/>
      </w:pPr>
      <w:r>
        <w:rPr>
          <w:sz w:val="24"/>
        </w:rPr>
        <w:t xml:space="preserve">Остальные испытания ОП проводят при одном значении перестраиваемого параметра, выбираемого испытательной лабораторией, если иное не установлено в конкретном методе испытания.</w:t>
      </w:r>
    </w:p>
    <w:p>
      <w:pPr>
        <w:pStyle w:val="0"/>
        <w:spacing w:before="240" w:lineRule="auto"/>
        <w:ind w:firstLine="540"/>
        <w:jc w:val="both"/>
      </w:pPr>
      <w:r>
        <w:rPr>
          <w:sz w:val="24"/>
        </w:rPr>
        <w:t xml:space="preserve">7.7 Испытательное оборудование и средства измерений, применяемые при испытаниях ОП, должны быть поверены или аттестованы в установленном порядке.</w:t>
      </w:r>
    </w:p>
    <w:p>
      <w:pPr>
        <w:pStyle w:val="0"/>
        <w:spacing w:before="240" w:lineRule="auto"/>
        <w:ind w:firstLine="540"/>
        <w:jc w:val="both"/>
      </w:pPr>
      <w:r>
        <w:rPr>
          <w:sz w:val="24"/>
        </w:rPr>
        <w:t xml:space="preserve">7.8 Если в ТД на ОП конкретного типа установлены более жесткие параметры воздействий, чем регламентируемые настоящим стандартом, то испытания проводят в соответствии с параметрами воздействий, установленными в ТД.</w:t>
      </w:r>
    </w:p>
    <w:p>
      <w:pPr>
        <w:pStyle w:val="0"/>
        <w:ind w:firstLine="540"/>
        <w:jc w:val="both"/>
      </w:pPr>
      <w:r>
        <w:rPr>
          <w:sz w:val="24"/>
        </w:rPr>
      </w:r>
    </w:p>
    <w:p>
      <w:pPr>
        <w:pStyle w:val="2"/>
        <w:outlineLvl w:val="1"/>
        <w:ind w:firstLine="540"/>
        <w:jc w:val="both"/>
      </w:pPr>
      <w:r>
        <w:rPr>
          <w:sz w:val="24"/>
          <w:b w:val="on"/>
        </w:rPr>
        <w:t xml:space="preserve">8 Методы испытаний</w:t>
      </w:r>
    </w:p>
    <w:p>
      <w:pPr>
        <w:pStyle w:val="0"/>
        <w:ind w:firstLine="540"/>
        <w:jc w:val="both"/>
      </w:pPr>
      <w:r>
        <w:rPr>
          <w:sz w:val="24"/>
        </w:rPr>
      </w:r>
    </w:p>
    <w:bookmarkStart w:id="582" w:name="P582"/>
    <w:bookmarkEnd w:id="582"/>
    <w:p>
      <w:pPr>
        <w:pStyle w:val="0"/>
        <w:ind w:firstLine="540"/>
        <w:jc w:val="both"/>
      </w:pPr>
      <w:r>
        <w:rPr>
          <w:sz w:val="24"/>
          <w:b w:val="on"/>
        </w:rPr>
        <w:t xml:space="preserve">8.1 Проверка функционирования</w:t>
      </w:r>
    </w:p>
    <w:p>
      <w:pPr>
        <w:pStyle w:val="0"/>
        <w:ind w:firstLine="540"/>
        <w:jc w:val="both"/>
      </w:pPr>
      <w:r>
        <w:rPr>
          <w:sz w:val="24"/>
        </w:rPr>
      </w:r>
    </w:p>
    <w:p>
      <w:pPr>
        <w:pStyle w:val="0"/>
        <w:ind w:firstLine="540"/>
        <w:jc w:val="both"/>
      </w:pPr>
      <w:r>
        <w:rPr>
          <w:sz w:val="24"/>
        </w:rPr>
        <w:t xml:space="preserve">Проверку функционирования ОП проводят следующим образом.</w:t>
      </w:r>
    </w:p>
    <w:p>
      <w:pPr>
        <w:pStyle w:val="0"/>
        <w:spacing w:before="240" w:lineRule="auto"/>
        <w:ind w:firstLine="540"/>
        <w:jc w:val="both"/>
      </w:pPr>
      <w:r>
        <w:rPr>
          <w:sz w:val="24"/>
        </w:rPr>
        <w:t xml:space="preserve">Испытуемый ОП переводят в режим "Пожар". Если ОП имеет несколько режимов работы, проверку проводят во всех режимах. Проверку функционирования ОПЗ и ОПР проводят на слух. Проверку функционирования ОПС проводят визуально. Проверку функционирования вибрационных, электротоковых ОПИ и ОПИ иного действия проводят путем непосредственного контакта испытуемого ОПИ с органом человека, на который должно быть оказано воздействие в соответствии с ТД, или иным методом, обеспечивающим подтверждение испытателем работоспособности ОПИ.</w:t>
      </w:r>
    </w:p>
    <w:p>
      <w:pPr>
        <w:pStyle w:val="0"/>
        <w:spacing w:before="240" w:lineRule="auto"/>
        <w:ind w:firstLine="540"/>
        <w:jc w:val="both"/>
      </w:pPr>
      <w:r>
        <w:rPr>
          <w:sz w:val="24"/>
        </w:rPr>
        <w:t xml:space="preserve">ОП считают выдержавшим испытание, если он удовлетворяет требованиям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w:t>
      </w:r>
    </w:p>
    <w:p>
      <w:pPr>
        <w:pStyle w:val="0"/>
        <w:spacing w:before="240" w:lineRule="auto"/>
        <w:ind w:firstLine="540"/>
        <w:jc w:val="both"/>
      </w:pPr>
      <w:r>
        <w:rPr>
          <w:sz w:val="24"/>
        </w:rPr>
        <w:t xml:space="preserve">Примечание - При наличии нескольких режимов работы ОП дальнейшие испытания проводят в одном из выбранных режимов работы. Режим работы определяется испытательной лабораторией.</w:t>
      </w:r>
    </w:p>
    <w:p>
      <w:pPr>
        <w:pStyle w:val="0"/>
        <w:ind w:firstLine="540"/>
        <w:jc w:val="both"/>
      </w:pPr>
      <w:r>
        <w:rPr>
          <w:sz w:val="24"/>
        </w:rPr>
      </w:r>
    </w:p>
    <w:bookmarkStart w:id="589" w:name="P589"/>
    <w:bookmarkEnd w:id="589"/>
    <w:p>
      <w:pPr>
        <w:pStyle w:val="0"/>
        <w:ind w:firstLine="540"/>
        <w:jc w:val="both"/>
      </w:pPr>
      <w:r>
        <w:rPr>
          <w:sz w:val="24"/>
          <w:b w:val="on"/>
        </w:rPr>
        <w:t xml:space="preserve">8.2 Размер информационных знаков ОПС</w:t>
      </w:r>
    </w:p>
    <w:p>
      <w:pPr>
        <w:pStyle w:val="0"/>
        <w:ind w:firstLine="540"/>
        <w:jc w:val="both"/>
      </w:pPr>
      <w:r>
        <w:rPr>
          <w:sz w:val="24"/>
        </w:rPr>
      </w:r>
    </w:p>
    <w:p>
      <w:pPr>
        <w:pStyle w:val="0"/>
        <w:ind w:firstLine="540"/>
        <w:jc w:val="both"/>
      </w:pPr>
      <w:r>
        <w:rPr>
          <w:sz w:val="24"/>
        </w:rPr>
        <w:t xml:space="preserve">Испытаниям подвергают только ОПС, содержащие информационные знаки (буквы, символы и т.д.).</w:t>
      </w:r>
    </w:p>
    <w:p>
      <w:pPr>
        <w:pStyle w:val="0"/>
        <w:spacing w:before="240" w:lineRule="auto"/>
        <w:ind w:firstLine="540"/>
        <w:jc w:val="both"/>
      </w:pPr>
      <w:r>
        <w:rPr>
          <w:sz w:val="24"/>
        </w:rPr>
        <w:t xml:space="preserve">Определение размера информационных знаков проводят методом непосредственного измерения с использованием линейки (рулетки). Если информационный знак имеет разные размеры по горизонтали и вертикали, за искомое значение принимают минимальный размер </w:t>
      </w:r>
      <w:r>
        <w:rPr>
          <w:sz w:val="24"/>
          <w:i w:val="on"/>
        </w:rPr>
        <w:t xml:space="preserve">h</w:t>
      </w:r>
      <w:r>
        <w:rPr>
          <w:sz w:val="24"/>
        </w:rPr>
        <w:t xml:space="preserve">, м. При наличии в информационном знаке текстовой информации за размер </w:t>
      </w:r>
      <w:r>
        <w:rPr>
          <w:sz w:val="24"/>
          <w:i w:val="on"/>
        </w:rPr>
        <w:t xml:space="preserve">h</w:t>
      </w:r>
      <w:r>
        <w:rPr>
          <w:sz w:val="24"/>
        </w:rPr>
        <w:t xml:space="preserve"> принимают размер прописных букв.</w:t>
      </w:r>
    </w:p>
    <w:p>
      <w:pPr>
        <w:pStyle w:val="0"/>
        <w:spacing w:before="240" w:lineRule="auto"/>
        <w:ind w:firstLine="540"/>
        <w:jc w:val="both"/>
      </w:pPr>
      <w:r>
        <w:rPr>
          <w:sz w:val="24"/>
        </w:rPr>
        <w:t xml:space="preserve">ОПС считают выдержавшим испытание, если измеренное значение </w:t>
      </w:r>
      <w:r>
        <w:rPr>
          <w:sz w:val="24"/>
          <w:i w:val="on"/>
        </w:rPr>
        <w:t xml:space="preserve">h</w:t>
      </w:r>
      <w:r>
        <w:rPr>
          <w:sz w:val="24"/>
        </w:rPr>
        <w:t xml:space="preserve"> больше или равно </w:t>
      </w:r>
      <w:r>
        <w:rPr>
          <w:sz w:val="24"/>
          <w:i w:val="on"/>
        </w:rPr>
        <w:t xml:space="preserve">l</w:t>
      </w:r>
      <w:r>
        <w:rPr>
          <w:sz w:val="24"/>
        </w:rPr>
        <w:t xml:space="preserve">/100, где </w:t>
      </w:r>
      <w:r>
        <w:rPr>
          <w:sz w:val="24"/>
          <w:i w:val="on"/>
        </w:rPr>
        <w:t xml:space="preserve">l</w:t>
      </w:r>
      <w:r>
        <w:rPr>
          <w:sz w:val="24"/>
        </w:rPr>
        <w:t xml:space="preserve"> - расстояние распознавания, указанное в ТД на ОПС конкретного типа.</w:t>
      </w:r>
    </w:p>
    <w:p>
      <w:pPr>
        <w:pStyle w:val="0"/>
        <w:ind w:firstLine="540"/>
        <w:jc w:val="both"/>
      </w:pPr>
      <w:r>
        <w:rPr>
          <w:sz w:val="24"/>
        </w:rPr>
      </w:r>
    </w:p>
    <w:bookmarkStart w:id="595" w:name="P595"/>
    <w:bookmarkEnd w:id="595"/>
    <w:p>
      <w:pPr>
        <w:pStyle w:val="0"/>
        <w:ind w:firstLine="540"/>
        <w:jc w:val="both"/>
      </w:pPr>
      <w:r>
        <w:rPr>
          <w:sz w:val="24"/>
          <w:b w:val="on"/>
        </w:rPr>
        <w:t xml:space="preserve">8.3 Цвета ОПС и отображаемых на них информационных знаков</w:t>
      </w:r>
    </w:p>
    <w:p>
      <w:pPr>
        <w:pStyle w:val="0"/>
        <w:ind w:firstLine="540"/>
        <w:jc w:val="both"/>
      </w:pPr>
      <w:r>
        <w:rPr>
          <w:sz w:val="24"/>
        </w:rPr>
      </w:r>
    </w:p>
    <w:p>
      <w:pPr>
        <w:pStyle w:val="0"/>
        <w:ind w:firstLine="540"/>
        <w:jc w:val="both"/>
      </w:pPr>
      <w:r>
        <w:rPr>
          <w:sz w:val="24"/>
        </w:rPr>
        <w:t xml:space="preserve">Испытаниям подвергают только ОПС, содержащие информационные знаки (буквы, символы и т.д.).</w:t>
      </w:r>
    </w:p>
    <w:p>
      <w:pPr>
        <w:pStyle w:val="0"/>
        <w:spacing w:before="240" w:lineRule="auto"/>
        <w:ind w:firstLine="540"/>
        <w:jc w:val="both"/>
      </w:pPr>
      <w:r>
        <w:rPr>
          <w:sz w:val="24"/>
        </w:rPr>
        <w:t xml:space="preserve">Цвета ОПС и информационных знаков контролируют визуально.</w:t>
      </w:r>
    </w:p>
    <w:p>
      <w:pPr>
        <w:pStyle w:val="0"/>
        <w:spacing w:before="240" w:lineRule="auto"/>
        <w:ind w:firstLine="540"/>
        <w:jc w:val="both"/>
      </w:pPr>
      <w:r>
        <w:rPr>
          <w:sz w:val="24"/>
        </w:rPr>
        <w:t xml:space="preserve">ОПС считают выдержавшим испытание, если цвета ОПС и информационных знаков удовлетворяют требованиям </w:t>
      </w:r>
      <w:hyperlink w:history="0" w:anchor="P183" w:tooltip="5.1.8 Цвета ОПС и отображаемых на них информационных знаков должны быть следующими:">
        <w:r>
          <w:rPr>
            <w:sz w:val="24"/>
            <w:color w:val="0000ff"/>
          </w:rPr>
          <w:t xml:space="preserve">5.1.8</w:t>
        </w:r>
      </w:hyperlink>
    </w:p>
    <w:p>
      <w:pPr>
        <w:pStyle w:val="0"/>
        <w:ind w:firstLine="540"/>
        <w:jc w:val="both"/>
      </w:pPr>
      <w:r>
        <w:rPr>
          <w:sz w:val="24"/>
        </w:rPr>
      </w:r>
    </w:p>
    <w:bookmarkStart w:id="601" w:name="P601"/>
    <w:bookmarkEnd w:id="601"/>
    <w:p>
      <w:pPr>
        <w:pStyle w:val="0"/>
        <w:ind w:firstLine="540"/>
        <w:jc w:val="both"/>
      </w:pPr>
      <w:r>
        <w:rPr>
          <w:sz w:val="24"/>
          <w:b w:val="on"/>
        </w:rPr>
        <w:t xml:space="preserve">8.4 Частота мигания (мигающие ОПС)</w:t>
      </w:r>
    </w:p>
    <w:p>
      <w:pPr>
        <w:pStyle w:val="0"/>
        <w:ind w:firstLine="540"/>
        <w:jc w:val="both"/>
      </w:pPr>
      <w:r>
        <w:rPr>
          <w:sz w:val="24"/>
        </w:rPr>
      </w:r>
    </w:p>
    <w:p>
      <w:pPr>
        <w:pStyle w:val="0"/>
        <w:ind w:firstLine="540"/>
        <w:jc w:val="both"/>
      </w:pPr>
      <w:r>
        <w:rPr>
          <w:sz w:val="24"/>
        </w:rPr>
        <w:t xml:space="preserve">Испытания по определению частоты мигания мигающих ОПС осуществляют следующим образом. Напротив ОП, в непосредственной близости, располагают фотоприемное устройство на основе фоторезистора, фотодиода или другого светочувствительного элемента. Сигнал с выхода фотоприемника подают на частотомер. ОП переводят в режим "Пожар" и измеряют частоту его мигания. Допускается проводить испытание посредством подсчета числа вспышек не менее чем за 30 с. Частоту мигания в этом случае определяют путем деления подсчитанного числа вспышек на время счета.</w:t>
      </w:r>
    </w:p>
    <w:p>
      <w:pPr>
        <w:pStyle w:val="0"/>
        <w:spacing w:before="240" w:lineRule="auto"/>
        <w:ind w:firstLine="540"/>
        <w:jc w:val="both"/>
      </w:pPr>
      <w:r>
        <w:rPr>
          <w:sz w:val="24"/>
        </w:rPr>
        <w:t xml:space="preserve">ОПС считают выдержавшим испытание, если значение частоты мигания соответствует значению, установленному в ТД на испытуемый ОП и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w:t>
      </w:r>
    </w:p>
    <w:p>
      <w:pPr>
        <w:pStyle w:val="0"/>
        <w:ind w:firstLine="540"/>
        <w:jc w:val="both"/>
      </w:pPr>
      <w:r>
        <w:rPr>
          <w:sz w:val="24"/>
        </w:rPr>
      </w:r>
    </w:p>
    <w:bookmarkStart w:id="606" w:name="P606"/>
    <w:bookmarkEnd w:id="606"/>
    <w:p>
      <w:pPr>
        <w:pStyle w:val="0"/>
        <w:ind w:firstLine="540"/>
        <w:jc w:val="both"/>
      </w:pPr>
      <w:r>
        <w:rPr>
          <w:sz w:val="24"/>
          <w:b w:val="on"/>
        </w:rPr>
        <w:t xml:space="preserve">8.5 Уровень звукового давления (ОПЗ и ОПР)</w:t>
      </w:r>
    </w:p>
    <w:p>
      <w:pPr>
        <w:pStyle w:val="0"/>
        <w:ind w:firstLine="540"/>
        <w:jc w:val="both"/>
      </w:pPr>
      <w:r>
        <w:rPr>
          <w:sz w:val="24"/>
        </w:rPr>
      </w:r>
    </w:p>
    <w:p>
      <w:pPr>
        <w:pStyle w:val="0"/>
        <w:ind w:firstLine="540"/>
        <w:jc w:val="both"/>
      </w:pPr>
      <w:r>
        <w:rPr>
          <w:sz w:val="24"/>
        </w:rPr>
        <w:t xml:space="preserve">Испытание по определению уровня звукового давления ОПЗ и ОПР проводят в такой последовательности:</w:t>
      </w:r>
    </w:p>
    <w:p>
      <w:pPr>
        <w:pStyle w:val="0"/>
        <w:spacing w:before="240" w:lineRule="auto"/>
        <w:ind w:firstLine="540"/>
        <w:jc w:val="both"/>
      </w:pPr>
      <w:r>
        <w:rPr>
          <w:sz w:val="24"/>
        </w:rPr>
        <w:t xml:space="preserve">1) для ОПЗ:</w:t>
      </w:r>
    </w:p>
    <w:p>
      <w:pPr>
        <w:pStyle w:val="0"/>
        <w:spacing w:before="240" w:lineRule="auto"/>
        <w:ind w:firstLine="540"/>
        <w:jc w:val="both"/>
      </w:pPr>
      <w:r>
        <w:rPr>
          <w:sz w:val="24"/>
        </w:rPr>
        <w:t xml:space="preserve">- измерительный микрофон шумомера и испытуемый ОП (кроме ОПИ) располагают горизонтально на одной оси на расстоянии (1,00 +/- 0,05) м. Измерительный микрофон шумомера должен быть расположен с фронтальной стороны ОП. При проведении испытаний звукового ОПИ измерительный микрофон шумомера и испытуемый ОПИ располагают на кратчайшем расстоянии друг от друга. В последующих испытаниях расстояние между ОПИ и микрофоном шумомера должно оставаться фиксированным;</w:t>
      </w:r>
    </w:p>
    <w:p>
      <w:pPr>
        <w:pStyle w:val="0"/>
        <w:spacing w:before="240" w:lineRule="auto"/>
        <w:ind w:firstLine="540"/>
        <w:jc w:val="both"/>
      </w:pPr>
      <w:r>
        <w:rPr>
          <w:sz w:val="24"/>
        </w:rPr>
        <w:t xml:space="preserve">- ОП переводят в режим "Пожар" и проводят измерение уровня звукового давления;</w:t>
      </w:r>
    </w:p>
    <w:p>
      <w:pPr>
        <w:pStyle w:val="0"/>
        <w:spacing w:before="240" w:lineRule="auto"/>
        <w:ind w:firstLine="540"/>
        <w:jc w:val="both"/>
      </w:pPr>
      <w:r>
        <w:rPr>
          <w:sz w:val="24"/>
        </w:rPr>
        <w:t xml:space="preserve">2) для ОПР:</w:t>
      </w:r>
    </w:p>
    <w:p>
      <w:pPr>
        <w:pStyle w:val="0"/>
        <w:spacing w:before="240" w:lineRule="auto"/>
        <w:ind w:firstLine="540"/>
        <w:jc w:val="both"/>
      </w:pPr>
      <w:r>
        <w:rPr>
          <w:sz w:val="24"/>
        </w:rPr>
        <w:t xml:space="preserve">- измерительный микрофон шумомера и испытуемый ОП (кроме ОПИ) располагают горизонтально на одной оси на расстоянии (1,00 +/- 0,05) м. Измерительный микрофон шумомера должен быть расположен с фронтальной стороны ОП. При проведении испытаний речевых ОПИ измерительный микрофон шумомера и испытуемый ОПИ располагают на кратчайшем расстоянии друг от друга. В последующих испытаниях расстояние между ОПИ и микрофоном шумомера должно оставаться фиксированным;</w:t>
      </w:r>
    </w:p>
    <w:p>
      <w:pPr>
        <w:pStyle w:val="0"/>
        <w:spacing w:before="240" w:lineRule="auto"/>
        <w:ind w:firstLine="540"/>
        <w:jc w:val="both"/>
      </w:pPr>
      <w:r>
        <w:rPr>
          <w:sz w:val="24"/>
        </w:rPr>
        <w:t xml:space="preserve">- на вход ОП подают гармонический сигнал частотой 1000 Гц с амплитудой, установленной в ТД на ОП конкретного типа, как чувствительность по входу;</w:t>
      </w:r>
    </w:p>
    <w:p>
      <w:pPr>
        <w:pStyle w:val="0"/>
        <w:spacing w:before="240" w:lineRule="auto"/>
        <w:ind w:firstLine="540"/>
        <w:jc w:val="both"/>
      </w:pPr>
      <w:r>
        <w:rPr>
          <w:sz w:val="24"/>
        </w:rPr>
        <w:t xml:space="preserve">- ОП переводят в режим "Пожар" и производят измерение уровня звукового давления.</w:t>
      </w:r>
    </w:p>
    <w:p>
      <w:pPr>
        <w:pStyle w:val="0"/>
        <w:spacing w:before="240" w:lineRule="auto"/>
        <w:ind w:firstLine="540"/>
        <w:jc w:val="both"/>
      </w:pPr>
      <w:r>
        <w:rPr>
          <w:sz w:val="24"/>
        </w:rPr>
        <w:t xml:space="preserve">Примечание - Если уровень звукового давления, создаваемого ОПЗ, модулирован или ОПР не имеет входа (текстовая информация записана в памяти), то за уровень звукового давления принимают максимальный измеренный уровень, создаваемый ОП.</w:t>
      </w:r>
    </w:p>
    <w:p>
      <w:pPr>
        <w:pStyle w:val="0"/>
        <w:ind w:firstLine="540"/>
        <w:jc w:val="both"/>
      </w:pPr>
      <w:r>
        <w:rPr>
          <w:sz w:val="24"/>
        </w:rPr>
      </w:r>
    </w:p>
    <w:p>
      <w:pPr>
        <w:pStyle w:val="0"/>
        <w:ind w:firstLine="540"/>
        <w:jc w:val="both"/>
      </w:pPr>
      <w:r>
        <w:rPr>
          <w:sz w:val="24"/>
        </w:rPr>
        <w:t xml:space="preserve">ОП считают выдержавшим испытание, если уровень звукового давления соответствует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и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w:t>
      </w:r>
    </w:p>
    <w:p>
      <w:pPr>
        <w:pStyle w:val="0"/>
        <w:ind w:firstLine="540"/>
        <w:jc w:val="both"/>
      </w:pPr>
      <w:r>
        <w:rPr>
          <w:sz w:val="24"/>
        </w:rPr>
      </w:r>
    </w:p>
    <w:bookmarkStart w:id="620" w:name="P620"/>
    <w:bookmarkEnd w:id="620"/>
    <w:p>
      <w:pPr>
        <w:pStyle w:val="0"/>
        <w:ind w:firstLine="540"/>
        <w:jc w:val="both"/>
      </w:pPr>
      <w:r>
        <w:rPr>
          <w:sz w:val="24"/>
          <w:b w:val="on"/>
        </w:rPr>
        <w:t xml:space="preserve">8.6 Диапазон частот (ОПЗ и ОПР)</w:t>
      </w:r>
    </w:p>
    <w:p>
      <w:pPr>
        <w:pStyle w:val="0"/>
        <w:ind w:firstLine="540"/>
        <w:jc w:val="both"/>
      </w:pPr>
      <w:r>
        <w:rPr>
          <w:sz w:val="24"/>
        </w:rPr>
      </w:r>
    </w:p>
    <w:p>
      <w:pPr>
        <w:pStyle w:val="0"/>
        <w:ind w:firstLine="540"/>
        <w:jc w:val="both"/>
      </w:pPr>
      <w:r>
        <w:rPr>
          <w:sz w:val="24"/>
        </w:rPr>
        <w:t xml:space="preserve">Испытание по определению частотных характеристик ОПЗ и ОПР проводят в такой последовательности:</w:t>
      </w:r>
    </w:p>
    <w:p>
      <w:pPr>
        <w:pStyle w:val="0"/>
        <w:spacing w:before="240" w:lineRule="auto"/>
        <w:ind w:firstLine="540"/>
        <w:jc w:val="both"/>
      </w:pPr>
      <w:r>
        <w:rPr>
          <w:sz w:val="24"/>
        </w:rPr>
        <w:t xml:space="preserve">1) для ОПЗ:</w:t>
      </w:r>
    </w:p>
    <w:p>
      <w:pPr>
        <w:pStyle w:val="0"/>
        <w:spacing w:before="240" w:lineRule="auto"/>
        <w:ind w:firstLine="540"/>
        <w:jc w:val="both"/>
      </w:pPr>
      <w:r>
        <w:rPr>
          <w:sz w:val="24"/>
        </w:rPr>
        <w:t xml:space="preserve">- сигнал с выхода измерительного микрофона подают на частотомер. Измерительный микрофон и испытуемый ОП (кроме ОПИ) располагают горизонтально на одной оси на расстоянии (1,00 +/- 0,05) м. Измерительный микрофон должен быть расположен с фронтальной стороны ОП. При проведении испытаний звуковых ОПИ измерительный микрофон шумомера и испытуемый ОПИ располагают на расстоянии, используемом в </w:t>
      </w:r>
      <w:hyperlink w:history="0" w:anchor="P606" w:tooltip="8.5 Уровень звукового давления (ОПЗ и ОПР)">
        <w:r>
          <w:rPr>
            <w:sz w:val="24"/>
            <w:color w:val="0000ff"/>
          </w:rPr>
          <w:t xml:space="preserve">8.5</w:t>
        </w:r>
      </w:hyperlink>
      <w:r>
        <w:rPr>
          <w:sz w:val="24"/>
        </w:rPr>
        <w:t xml:space="preserve">;</w:t>
      </w:r>
    </w:p>
    <w:p>
      <w:pPr>
        <w:pStyle w:val="0"/>
        <w:spacing w:before="240" w:lineRule="auto"/>
        <w:ind w:firstLine="540"/>
        <w:jc w:val="both"/>
      </w:pPr>
      <w:r>
        <w:rPr>
          <w:sz w:val="24"/>
        </w:rPr>
        <w:t xml:space="preserve">- проводят измерение частоты генерируемого ОП звукового сигнала;</w:t>
      </w:r>
    </w:p>
    <w:p>
      <w:pPr>
        <w:pStyle w:val="0"/>
        <w:spacing w:before="240" w:lineRule="auto"/>
        <w:ind w:firstLine="540"/>
        <w:jc w:val="both"/>
      </w:pPr>
      <w:r>
        <w:rPr>
          <w:sz w:val="24"/>
        </w:rPr>
        <w:t xml:space="preserve">- если генерируемый сигнал модулирован по частоте, то за результат испытания принимают среднюю измеренную частоту сигнала (среднеарифметическое значение).</w:t>
      </w:r>
    </w:p>
    <w:p>
      <w:pPr>
        <w:pStyle w:val="0"/>
        <w:spacing w:before="240" w:lineRule="auto"/>
        <w:ind w:firstLine="540"/>
        <w:jc w:val="both"/>
      </w:pPr>
      <w:r>
        <w:rPr>
          <w:sz w:val="24"/>
        </w:rPr>
        <w:t xml:space="preserve">2) для ОПР:</w:t>
      </w:r>
    </w:p>
    <w:p>
      <w:pPr>
        <w:pStyle w:val="0"/>
        <w:spacing w:before="240" w:lineRule="auto"/>
        <w:ind w:firstLine="540"/>
        <w:jc w:val="both"/>
      </w:pPr>
      <w:r>
        <w:rPr>
          <w:sz w:val="24"/>
        </w:rPr>
        <w:t xml:space="preserve">- проводят измерение уровня звукового давления по </w:t>
      </w:r>
      <w:hyperlink w:history="0" w:anchor="P606" w:tooltip="8.5 Уровень звукового давления (ОПЗ и ОПР)">
        <w:r>
          <w:rPr>
            <w:sz w:val="24"/>
            <w:color w:val="0000ff"/>
          </w:rPr>
          <w:t xml:space="preserve">8.5</w:t>
        </w:r>
      </w:hyperlink>
      <w:r>
        <w:rPr>
          <w:sz w:val="24"/>
        </w:rPr>
        <w:t xml:space="preserve"> при последовательной подаче на вход усилителя речевого сигнала гармонических сигналов частотой 3500, 2000, 1000, 500 Гц и амплитудой, установленной в ТД на ОП конкретного типа, как чувствительность по входу.</w:t>
      </w:r>
    </w:p>
    <w:p>
      <w:pPr>
        <w:pStyle w:val="0"/>
        <w:spacing w:before="240" w:lineRule="auto"/>
        <w:ind w:firstLine="540"/>
        <w:jc w:val="both"/>
      </w:pPr>
      <w:r>
        <w:rPr>
          <w:sz w:val="24"/>
        </w:rPr>
        <w:t xml:space="preserve">Примечание - Если речевой (звуковой) сигнал записан в памяти ОП и ОП не имеет входа для подключения речевого сигнала, то испытание не проводят.</w:t>
      </w:r>
    </w:p>
    <w:p>
      <w:pPr>
        <w:pStyle w:val="0"/>
        <w:ind w:firstLine="540"/>
        <w:jc w:val="both"/>
      </w:pPr>
      <w:r>
        <w:rPr>
          <w:sz w:val="24"/>
        </w:rPr>
      </w:r>
    </w:p>
    <w:p>
      <w:pPr>
        <w:pStyle w:val="0"/>
        <w:ind w:firstLine="540"/>
        <w:jc w:val="both"/>
      </w:pPr>
      <w:r>
        <w:rPr>
          <w:sz w:val="24"/>
        </w:rPr>
        <w:t xml:space="preserve">ОП считают выдержавшим испытание, если частотная характеристика соответствует </w:t>
      </w:r>
      <w:hyperlink w:history="0" w:anchor="P178" w:tooltip="5.1.6 Частота генерируемых ОПЗ сигналов должна быть в пределах полосы от 200 до 5000 Гц. В технически обоснованных случаях допускается расширение предела до 10 000 Гц. Частотная характеристика сигналов должна быть установлена в ТД на ОПЗ конкретных типов.">
        <w:r>
          <w:rPr>
            <w:sz w:val="24"/>
            <w:color w:val="0000ff"/>
          </w:rPr>
          <w:t xml:space="preserve">5.1.6</w:t>
        </w:r>
      </w:hyperlink>
      <w:r>
        <w:rPr>
          <w:sz w:val="24"/>
        </w:rPr>
        <w:t xml:space="preserve"> и </w:t>
      </w:r>
      <w:hyperlink w:history="0" w:anchor="P193" w:tooltip="5.1.12 Диапазон воспроизводимых частот должен быть указан в ТД на ОПР конкретных типов, но не уже, чем от 500 до 3500 Гц при неравномерности амплитудно-частотной характеристики в диапазоне не более 16 дБ.">
        <w:r>
          <w:rPr>
            <w:sz w:val="24"/>
            <w:color w:val="0000ff"/>
          </w:rPr>
          <w:t xml:space="preserve">5.1.12</w:t>
        </w:r>
      </w:hyperlink>
      <w:r>
        <w:rPr>
          <w:sz w:val="24"/>
        </w:rPr>
        <w:t xml:space="preserve">.</w:t>
      </w:r>
    </w:p>
    <w:p>
      <w:pPr>
        <w:pStyle w:val="0"/>
        <w:ind w:firstLine="540"/>
        <w:jc w:val="both"/>
      </w:pPr>
      <w:r>
        <w:rPr>
          <w:sz w:val="24"/>
        </w:rPr>
      </w:r>
    </w:p>
    <w:bookmarkStart w:id="633" w:name="P633"/>
    <w:bookmarkEnd w:id="633"/>
    <w:p>
      <w:pPr>
        <w:pStyle w:val="0"/>
        <w:ind w:firstLine="540"/>
        <w:jc w:val="both"/>
      </w:pPr>
      <w:r>
        <w:rPr>
          <w:sz w:val="24"/>
          <w:b w:val="on"/>
        </w:rPr>
        <w:t xml:space="preserve">8.7 Мощность, подводимая к вибромотору (для вибрационных ОПИ)</w:t>
      </w:r>
    </w:p>
    <w:p>
      <w:pPr>
        <w:pStyle w:val="0"/>
        <w:ind w:firstLine="540"/>
        <w:jc w:val="both"/>
      </w:pPr>
      <w:r>
        <w:rPr>
          <w:sz w:val="24"/>
        </w:rPr>
      </w:r>
    </w:p>
    <w:p>
      <w:pPr>
        <w:pStyle w:val="0"/>
        <w:ind w:firstLine="540"/>
        <w:jc w:val="both"/>
      </w:pPr>
      <w:r>
        <w:rPr>
          <w:sz w:val="24"/>
        </w:rPr>
        <w:t xml:space="preserve">Испытание по определению мощности, подводимой к вибромотору ОПИ, проводят по методике предприятия - изготовителя ОПИ, приведенной в ТД на ОПИ конкретного типа.</w:t>
      </w:r>
    </w:p>
    <w:p>
      <w:pPr>
        <w:pStyle w:val="0"/>
        <w:spacing w:before="240" w:lineRule="auto"/>
        <w:ind w:firstLine="540"/>
        <w:jc w:val="both"/>
      </w:pPr>
      <w:r>
        <w:rPr>
          <w:sz w:val="24"/>
        </w:rPr>
        <w:t xml:space="preserve">ОПИ считают выдержавшим испытание, если подводимая к вибромотору мощность соответствует требованиям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и ТД на испытуемый ОПИ.</w:t>
      </w:r>
    </w:p>
    <w:p>
      <w:pPr>
        <w:pStyle w:val="0"/>
        <w:ind w:firstLine="540"/>
        <w:jc w:val="both"/>
      </w:pPr>
      <w:r>
        <w:rPr>
          <w:sz w:val="24"/>
        </w:rPr>
      </w:r>
    </w:p>
    <w:bookmarkStart w:id="638" w:name="P638"/>
    <w:bookmarkEnd w:id="638"/>
    <w:p>
      <w:pPr>
        <w:pStyle w:val="0"/>
        <w:ind w:firstLine="540"/>
        <w:jc w:val="both"/>
      </w:pPr>
      <w:r>
        <w:rPr>
          <w:sz w:val="24"/>
          <w:b w:val="on"/>
        </w:rPr>
        <w:t xml:space="preserve">8.8 Значение токовых воздействий (для электротоковых ОПИ)</w:t>
      </w:r>
    </w:p>
    <w:p>
      <w:pPr>
        <w:pStyle w:val="0"/>
        <w:ind w:firstLine="540"/>
        <w:jc w:val="both"/>
      </w:pPr>
      <w:r>
        <w:rPr>
          <w:sz w:val="24"/>
        </w:rPr>
      </w:r>
    </w:p>
    <w:p>
      <w:pPr>
        <w:pStyle w:val="0"/>
        <w:ind w:firstLine="540"/>
        <w:jc w:val="both"/>
      </w:pPr>
      <w:r>
        <w:rPr>
          <w:sz w:val="24"/>
        </w:rPr>
        <w:t xml:space="preserve">Испытание по определению значений электрических воздействий, оказываемых электротоковыми ОПИ, проводят следующим образом.</w:t>
      </w:r>
    </w:p>
    <w:p>
      <w:pPr>
        <w:pStyle w:val="0"/>
        <w:spacing w:before="240" w:lineRule="auto"/>
        <w:ind w:firstLine="540"/>
        <w:jc w:val="both"/>
      </w:pPr>
      <w:r>
        <w:rPr>
          <w:sz w:val="24"/>
        </w:rPr>
        <w:t xml:space="preserve">К клеммам ОПИ, предназначенным для контакта с телом человека, подсоединяют последовательно включенные миллиамперметр и резистор, имитирующий сопротивление тела. Значение сопротивления резистора должно соответствовать установленному в ТД на ОПИ конкретных типов. Испытуемый ОПИ переводят в режим оповещения. С помощью миллиамперметра измеряют значение выходного тока. Напряжение прикосновения вычисляют умножением значения измеренного тока на номинал резистора.</w:t>
      </w:r>
    </w:p>
    <w:p>
      <w:pPr>
        <w:pStyle w:val="0"/>
        <w:spacing w:before="240" w:lineRule="auto"/>
        <w:ind w:firstLine="540"/>
        <w:jc w:val="both"/>
      </w:pPr>
      <w:r>
        <w:rPr>
          <w:sz w:val="24"/>
        </w:rPr>
        <w:t xml:space="preserve">ОПИ считают выдержавшим испытание, если значения тока и напряжения прикосновения соответствуют требованиям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 и ТД на испытуемый ОПИ.</w:t>
      </w:r>
    </w:p>
    <w:p>
      <w:pPr>
        <w:pStyle w:val="0"/>
        <w:ind w:firstLine="540"/>
        <w:jc w:val="both"/>
      </w:pPr>
      <w:r>
        <w:rPr>
          <w:sz w:val="24"/>
        </w:rPr>
      </w:r>
    </w:p>
    <w:bookmarkStart w:id="644" w:name="P644"/>
    <w:bookmarkEnd w:id="644"/>
    <w:p>
      <w:pPr>
        <w:pStyle w:val="0"/>
        <w:ind w:firstLine="540"/>
        <w:jc w:val="both"/>
      </w:pPr>
      <w:r>
        <w:rPr>
          <w:sz w:val="24"/>
          <w:b w:val="on"/>
        </w:rPr>
        <w:t xml:space="preserve">8.9 Изменение напряжения питания</w:t>
      </w:r>
    </w:p>
    <w:p>
      <w:pPr>
        <w:pStyle w:val="0"/>
        <w:ind w:firstLine="540"/>
        <w:jc w:val="both"/>
      </w:pPr>
      <w:r>
        <w:rPr>
          <w:sz w:val="24"/>
        </w:rPr>
      </w:r>
    </w:p>
    <w:p>
      <w:pPr>
        <w:pStyle w:val="0"/>
        <w:ind w:firstLine="540"/>
        <w:jc w:val="both"/>
      </w:pPr>
      <w:r>
        <w:rPr>
          <w:sz w:val="24"/>
        </w:rPr>
        <w:t xml:space="preserve">В одинаковых условиях дважды проводят испытания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 первый раз - с максимальным значением напряжения источника питания, а второй раз - с минимальным, установленным в ТД на ОП конкретных типов.</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во время испытания ОП сохраняют работоспособность;</w:t>
      </w:r>
    </w:p>
    <w:p>
      <w:pPr>
        <w:pStyle w:val="0"/>
        <w:spacing w:before="240" w:lineRule="auto"/>
        <w:ind w:firstLine="540"/>
        <w:jc w:val="both"/>
      </w:pPr>
      <w:r>
        <w:rPr>
          <w:sz w:val="24"/>
        </w:rPr>
        <w:t xml:space="preserve">- ОП в зависимости от их типа удовлетворяют требованиям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spacing w:before="240" w:lineRule="auto"/>
        <w:ind w:firstLine="540"/>
        <w:jc w:val="both"/>
      </w:pPr>
      <w:r>
        <w:rPr>
          <w:sz w:val="24"/>
        </w:rPr>
        <w:t xml:space="preserve">Примечание - Испытания ОП, питающихся от встроенного автономного источника питания или от адресной линии связи ППУ-ТСО, не проводят.</w:t>
      </w:r>
    </w:p>
    <w:p>
      <w:pPr>
        <w:pStyle w:val="0"/>
        <w:ind w:firstLine="540"/>
        <w:jc w:val="both"/>
      </w:pPr>
      <w:r>
        <w:rPr>
          <w:sz w:val="24"/>
        </w:rPr>
      </w:r>
    </w:p>
    <w:bookmarkStart w:id="652" w:name="P652"/>
    <w:bookmarkEnd w:id="652"/>
    <w:p>
      <w:pPr>
        <w:pStyle w:val="0"/>
        <w:ind w:firstLine="540"/>
        <w:jc w:val="both"/>
      </w:pPr>
      <w:r>
        <w:rPr>
          <w:sz w:val="24"/>
          <w:b w:val="on"/>
        </w:rPr>
        <w:t xml:space="preserve">8.10 Сухое тепло. Устойчивость</w:t>
      </w:r>
    </w:p>
    <w:p>
      <w:pPr>
        <w:pStyle w:val="0"/>
        <w:ind w:firstLine="540"/>
        <w:jc w:val="both"/>
      </w:pPr>
      <w:r>
        <w:rPr>
          <w:sz w:val="24"/>
        </w:rPr>
      </w:r>
    </w:p>
    <w:p>
      <w:pPr>
        <w:pStyle w:val="0"/>
        <w:ind w:firstLine="540"/>
        <w:jc w:val="both"/>
      </w:pPr>
      <w:r>
        <w:rPr>
          <w:sz w:val="24"/>
        </w:rPr>
        <w:t xml:space="preserve">Испытательное оборудование и метод испытания должны соответствовать </w:t>
      </w:r>
      <w:hyperlink w:history="0" r:id="rId41" w:tooltip="&quot;ГОСТ 28200-89 (МЭК 68-2-2-74). Межгосударственный стандарт. Основные методы испытаний на воздействие внешних факторов. Часть 2. Испытания. Испытание B: Сухое тепло&quot; (введен в действие Постановлением Госстандарта СССР от 15.08.1989 N 2553) (ред. от 01.11.1997) {КонсультантПлюс}">
        <w:r>
          <w:rPr>
            <w:sz w:val="24"/>
            <w:color w:val="0000ff"/>
          </w:rPr>
          <w:t xml:space="preserve">ГОСТ 28200</w:t>
        </w:r>
      </w:hyperlink>
      <w:r>
        <w:rPr>
          <w:sz w:val="24"/>
        </w:rPr>
        <w:t xml:space="preserve">. Во время испытания ОП должен находиться в дежурном режиме.</w:t>
      </w:r>
    </w:p>
    <w:p>
      <w:pPr>
        <w:pStyle w:val="0"/>
        <w:spacing w:before="240" w:lineRule="auto"/>
        <w:ind w:firstLine="540"/>
        <w:jc w:val="both"/>
      </w:pPr>
      <w:r>
        <w:rPr>
          <w:sz w:val="24"/>
        </w:rPr>
        <w:t xml:space="preserve">Используют следующую степень жесткости:</w:t>
      </w:r>
    </w:p>
    <w:p>
      <w:pPr>
        <w:pStyle w:val="0"/>
        <w:spacing w:before="240" w:lineRule="auto"/>
        <w:ind w:firstLine="540"/>
        <w:jc w:val="both"/>
      </w:pPr>
      <w:r>
        <w:rPr>
          <w:sz w:val="24"/>
        </w:rPr>
        <w:t xml:space="preserve">- температура, установленная в ТД на ОП конкретного типа, но не менее 55 °C;</w:t>
      </w:r>
    </w:p>
    <w:p>
      <w:pPr>
        <w:pStyle w:val="0"/>
        <w:spacing w:before="240" w:lineRule="auto"/>
        <w:ind w:firstLine="540"/>
        <w:jc w:val="both"/>
      </w:pPr>
      <w:r>
        <w:rPr>
          <w:sz w:val="24"/>
        </w:rPr>
        <w:t xml:space="preserve">- длительность - 2 ч.</w:t>
      </w:r>
    </w:p>
    <w:p>
      <w:pPr>
        <w:pStyle w:val="0"/>
        <w:spacing w:before="240" w:lineRule="auto"/>
        <w:ind w:firstLine="540"/>
        <w:jc w:val="both"/>
      </w:pPr>
      <w:r>
        <w:rPr>
          <w:sz w:val="24"/>
        </w:rPr>
        <w:t xml:space="preserve">Перед окончанием испытания ОП подвергают испытаниям по </w:t>
      </w:r>
      <w:hyperlink w:history="0" w:anchor="P582" w:tooltip="8.1 Проверка функционирования">
        <w:r>
          <w:rPr>
            <w:sz w:val="24"/>
            <w:color w:val="0000ff"/>
          </w:rPr>
          <w:t xml:space="preserve">8.1</w:t>
        </w:r>
      </w:hyperlink>
      <w:r>
        <w:rPr>
          <w:sz w:val="24"/>
        </w:rPr>
        <w:t xml:space="preserve">.</w:t>
      </w:r>
    </w:p>
    <w:p>
      <w:pPr>
        <w:pStyle w:val="0"/>
        <w:spacing w:before="240" w:lineRule="auto"/>
        <w:ind w:firstLine="540"/>
        <w:jc w:val="both"/>
      </w:pPr>
      <w:r>
        <w:rPr>
          <w:sz w:val="24"/>
        </w:rPr>
        <w:t xml:space="preserve">После окончания испытания ОП выдерживают в нормальных условиях не менее 2 ч, после чего его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во время и после испытания ОП сохраняют дежурный режим работы;</w:t>
      </w:r>
    </w:p>
    <w:p>
      <w:pPr>
        <w:pStyle w:val="0"/>
        <w:spacing w:before="240" w:lineRule="auto"/>
        <w:ind w:firstLine="540"/>
        <w:jc w:val="both"/>
      </w:pPr>
      <w:r>
        <w:rPr>
          <w:sz w:val="24"/>
        </w:rPr>
        <w:t xml:space="preserve">-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ind w:firstLine="540"/>
        <w:jc w:val="both"/>
      </w:pPr>
      <w:r>
        <w:rPr>
          <w:sz w:val="24"/>
        </w:rPr>
      </w:r>
    </w:p>
    <w:bookmarkStart w:id="664" w:name="P664"/>
    <w:bookmarkEnd w:id="664"/>
    <w:p>
      <w:pPr>
        <w:pStyle w:val="0"/>
        <w:ind w:firstLine="540"/>
        <w:jc w:val="both"/>
      </w:pPr>
      <w:r>
        <w:rPr>
          <w:sz w:val="24"/>
          <w:b w:val="on"/>
        </w:rPr>
        <w:t xml:space="preserve">8.11 Холод. Устойчивость</w:t>
      </w:r>
    </w:p>
    <w:p>
      <w:pPr>
        <w:pStyle w:val="0"/>
        <w:ind w:firstLine="540"/>
        <w:jc w:val="both"/>
      </w:pPr>
      <w:r>
        <w:rPr>
          <w:sz w:val="24"/>
        </w:rPr>
      </w:r>
    </w:p>
    <w:p>
      <w:pPr>
        <w:pStyle w:val="0"/>
        <w:ind w:firstLine="540"/>
        <w:jc w:val="both"/>
      </w:pPr>
      <w:r>
        <w:rPr>
          <w:sz w:val="24"/>
        </w:rPr>
        <w:t xml:space="preserve">Испытательное оборудование и метод испытания должны соответствовать </w:t>
      </w:r>
      <w:hyperlink w:history="0" r:id="rId42" w:tooltip="&quot;ГОСТ 28199-89 (МЭК 68-2-1-74). Межгосударственный стандарт. Основные методы испытаний на воздействие внешних факторов. Часть 2. Испытания. Испытание А: Холод&quot; (введен в действие Постановлением Госстандарта СССР от 15.08.1989 N 2553) (ред. от 01.08.1998) {КонсультантПлюс}">
        <w:r>
          <w:rPr>
            <w:sz w:val="24"/>
            <w:color w:val="0000ff"/>
          </w:rPr>
          <w:t xml:space="preserve">ГОСТ 28199</w:t>
        </w:r>
      </w:hyperlink>
      <w:r>
        <w:rPr>
          <w:sz w:val="24"/>
        </w:rPr>
        <w:t xml:space="preserve">. Во время испытания ОП должен находиться в дежурном режиме.</w:t>
      </w:r>
    </w:p>
    <w:p>
      <w:pPr>
        <w:pStyle w:val="0"/>
        <w:spacing w:before="240" w:lineRule="auto"/>
        <w:ind w:firstLine="540"/>
        <w:jc w:val="both"/>
      </w:pPr>
      <w:r>
        <w:rPr>
          <w:sz w:val="24"/>
        </w:rPr>
        <w:t xml:space="preserve">Используют следующую степень жесткости:</w:t>
      </w:r>
    </w:p>
    <w:p>
      <w:pPr>
        <w:pStyle w:val="0"/>
        <w:spacing w:before="240" w:lineRule="auto"/>
        <w:ind w:firstLine="540"/>
        <w:jc w:val="both"/>
      </w:pPr>
      <w:r>
        <w:rPr>
          <w:sz w:val="24"/>
        </w:rPr>
        <w:t xml:space="preserve">- температура, установленная в ТД на ОП конкретного типа, но не выше минус 10 °C;</w:t>
      </w:r>
    </w:p>
    <w:p>
      <w:pPr>
        <w:pStyle w:val="0"/>
        <w:spacing w:before="240" w:lineRule="auto"/>
        <w:ind w:firstLine="540"/>
        <w:jc w:val="both"/>
      </w:pPr>
      <w:r>
        <w:rPr>
          <w:sz w:val="24"/>
        </w:rPr>
        <w:t xml:space="preserve">- длительность - 2 ч.</w:t>
      </w:r>
    </w:p>
    <w:p>
      <w:pPr>
        <w:pStyle w:val="0"/>
        <w:spacing w:before="240" w:lineRule="auto"/>
        <w:ind w:firstLine="540"/>
        <w:jc w:val="both"/>
      </w:pPr>
      <w:r>
        <w:rPr>
          <w:sz w:val="24"/>
        </w:rPr>
        <w:t xml:space="preserve">Перед окончанием испытания ОП подвергают испытаниям по </w:t>
      </w:r>
      <w:hyperlink w:history="0" w:anchor="P582" w:tooltip="8.1 Проверка функционирования">
        <w:r>
          <w:rPr>
            <w:sz w:val="24"/>
            <w:color w:val="0000ff"/>
          </w:rPr>
          <w:t xml:space="preserve">8.1</w:t>
        </w:r>
      </w:hyperlink>
      <w:r>
        <w:rPr>
          <w:sz w:val="24"/>
        </w:rPr>
        <w:t xml:space="preserve">.</w:t>
      </w:r>
    </w:p>
    <w:p>
      <w:pPr>
        <w:pStyle w:val="0"/>
        <w:spacing w:before="240" w:lineRule="auto"/>
        <w:ind w:firstLine="540"/>
        <w:jc w:val="both"/>
      </w:pPr>
      <w:r>
        <w:rPr>
          <w:sz w:val="24"/>
        </w:rPr>
        <w:t xml:space="preserve">После окончания испытания ОП выдерживают в нормальных условиях не менее 2 ч, после чего его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во время и после испытания ОП сохраняют дежурный режим работы;</w:t>
      </w:r>
    </w:p>
    <w:p>
      <w:pPr>
        <w:pStyle w:val="0"/>
        <w:spacing w:before="240" w:lineRule="auto"/>
        <w:ind w:firstLine="540"/>
        <w:jc w:val="both"/>
      </w:pPr>
      <w:r>
        <w:rPr>
          <w:sz w:val="24"/>
        </w:rPr>
        <w:t xml:space="preserve">-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ind w:firstLine="540"/>
        <w:jc w:val="both"/>
      </w:pPr>
      <w:r>
        <w:rPr>
          <w:sz w:val="24"/>
        </w:rPr>
      </w:r>
    </w:p>
    <w:bookmarkStart w:id="676" w:name="P676"/>
    <w:bookmarkEnd w:id="676"/>
    <w:p>
      <w:pPr>
        <w:pStyle w:val="0"/>
        <w:ind w:firstLine="540"/>
        <w:jc w:val="both"/>
      </w:pPr>
      <w:r>
        <w:rPr>
          <w:sz w:val="24"/>
          <w:b w:val="on"/>
        </w:rPr>
        <w:t xml:space="preserve">8.12 Влажное тепло. Устойчивость</w:t>
      </w:r>
    </w:p>
    <w:p>
      <w:pPr>
        <w:pStyle w:val="0"/>
        <w:ind w:firstLine="540"/>
        <w:jc w:val="both"/>
      </w:pPr>
      <w:r>
        <w:rPr>
          <w:sz w:val="24"/>
        </w:rPr>
      </w:r>
    </w:p>
    <w:p>
      <w:pPr>
        <w:pStyle w:val="0"/>
        <w:ind w:firstLine="540"/>
        <w:jc w:val="both"/>
      </w:pPr>
      <w:r>
        <w:rPr>
          <w:sz w:val="24"/>
          <w:b w:val="on"/>
        </w:rPr>
        <w:t xml:space="preserve">8.12.1 Постоянный режим</w:t>
      </w:r>
    </w:p>
    <w:p>
      <w:pPr>
        <w:pStyle w:val="0"/>
        <w:spacing w:before="240" w:lineRule="auto"/>
        <w:ind w:firstLine="540"/>
        <w:jc w:val="both"/>
      </w:pPr>
      <w:r>
        <w:rPr>
          <w:sz w:val="24"/>
        </w:rPr>
        <w:t xml:space="preserve">Испытательное оборудование и метод испытания должны соответствовать </w:t>
      </w:r>
      <w:hyperlink w:history="0" r:id="rId43" w:tooltip="&quot;ГОСТ 28201-89 (МЭК 68-2-3-69). Межгосударственный стандарт. Основные методы испытаний на воздействие внешних факторов. Часть 2. Испытания. Испытание Ca: влажное тепло, постоянный режим&quot; (введен в действие Постановлением Госстандарта СССР от 15.08.1989 N 2554) {КонсультантПлюс}">
        <w:r>
          <w:rPr>
            <w:sz w:val="24"/>
            <w:color w:val="0000ff"/>
          </w:rPr>
          <w:t xml:space="preserve">ГОСТ 28201</w:t>
        </w:r>
      </w:hyperlink>
      <w:r>
        <w:rPr>
          <w:sz w:val="24"/>
        </w:rPr>
        <w:t xml:space="preserve">. Во время испытания ОП должен находиться в дежурном режиме.</w:t>
      </w:r>
    </w:p>
    <w:p>
      <w:pPr>
        <w:pStyle w:val="0"/>
        <w:spacing w:before="240" w:lineRule="auto"/>
        <w:ind w:firstLine="540"/>
        <w:jc w:val="both"/>
      </w:pPr>
      <w:r>
        <w:rPr>
          <w:sz w:val="24"/>
        </w:rPr>
        <w:t xml:space="preserve">Используют следующую степень жесткости:</w:t>
      </w:r>
    </w:p>
    <w:p>
      <w:pPr>
        <w:pStyle w:val="0"/>
        <w:spacing w:before="240" w:lineRule="auto"/>
        <w:ind w:firstLine="540"/>
        <w:jc w:val="both"/>
      </w:pPr>
      <w:r>
        <w:rPr>
          <w:sz w:val="24"/>
        </w:rPr>
        <w:t xml:space="preserve">- температура - (40 +/- 2) °C;</w:t>
      </w:r>
    </w:p>
    <w:p>
      <w:pPr>
        <w:pStyle w:val="0"/>
        <w:spacing w:before="240" w:lineRule="auto"/>
        <w:ind w:firstLine="540"/>
        <w:jc w:val="both"/>
      </w:pPr>
      <w:r>
        <w:rPr>
          <w:sz w:val="24"/>
        </w:rPr>
        <w:t xml:space="preserve">- относительная влажность - </w:t>
      </w:r>
      <w:r>
        <w:rPr>
          <w:position w:val="-14"/>
        </w:rPr>
        <w:drawing>
          <wp:inline distT="0" distB="0" distL="0" distR="0">
            <wp:extent cx="67437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674370" cy="33147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 длительность - 48 ч.</w:t>
      </w:r>
    </w:p>
    <w:p>
      <w:pPr>
        <w:pStyle w:val="0"/>
        <w:spacing w:before="240" w:lineRule="auto"/>
        <w:ind w:firstLine="540"/>
        <w:jc w:val="both"/>
      </w:pPr>
      <w:r>
        <w:rPr>
          <w:sz w:val="24"/>
        </w:rPr>
        <w:t xml:space="preserve">Перед окончанием испытания ОП подвергают испытаниям по </w:t>
      </w:r>
      <w:hyperlink w:history="0" w:anchor="P582" w:tooltip="8.1 Проверка функционирования">
        <w:r>
          <w:rPr>
            <w:sz w:val="24"/>
            <w:color w:val="0000ff"/>
          </w:rPr>
          <w:t xml:space="preserve">8.1</w:t>
        </w:r>
      </w:hyperlink>
      <w:r>
        <w:rPr>
          <w:sz w:val="24"/>
        </w:rPr>
        <w:t xml:space="preserve">.</w:t>
      </w:r>
    </w:p>
    <w:p>
      <w:pPr>
        <w:pStyle w:val="0"/>
        <w:spacing w:before="240" w:lineRule="auto"/>
        <w:ind w:firstLine="540"/>
        <w:jc w:val="both"/>
      </w:pPr>
      <w:r>
        <w:rPr>
          <w:sz w:val="24"/>
        </w:rPr>
        <w:t xml:space="preserve">После окончания испытания ОП выдерживают в нормальных условиях не менее 2 ч, после чего его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во время и после испытания ОП сохраняют дежурный режим работы;</w:t>
      </w:r>
    </w:p>
    <w:p>
      <w:pPr>
        <w:pStyle w:val="0"/>
        <w:spacing w:before="240" w:lineRule="auto"/>
        <w:ind w:firstLine="540"/>
        <w:jc w:val="both"/>
      </w:pPr>
      <w:r>
        <w:rPr>
          <w:sz w:val="24"/>
        </w:rPr>
        <w:t xml:space="preserve">-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spacing w:before="240" w:lineRule="auto"/>
        <w:ind w:firstLine="540"/>
        <w:jc w:val="both"/>
      </w:pPr>
      <w:r>
        <w:rPr>
          <w:sz w:val="24"/>
          <w:b w:val="on"/>
        </w:rPr>
        <w:t xml:space="preserve">8.12.2 Циклический режим</w:t>
      </w:r>
    </w:p>
    <w:p>
      <w:pPr>
        <w:pStyle w:val="0"/>
        <w:spacing w:before="240" w:lineRule="auto"/>
        <w:ind w:firstLine="540"/>
        <w:jc w:val="both"/>
      </w:pPr>
      <w:r>
        <w:rPr>
          <w:sz w:val="24"/>
        </w:rPr>
        <w:t xml:space="preserve">Испытательное оборудование и метод испытания должны соответствовать </w:t>
      </w:r>
      <w:hyperlink w:history="0" r:id="rId45" w:tooltip="&quot;ГОСТ 28216-89 (МЭК 68-2-30-82). Межгосударственный стандарт. Основные методы испытаний на воздействие внешних факторов. Часть 2. Испытания. Испытание Db и руководство: влажное тепло, циклическое (12 + 12-часовой цикл)&quot; (введен в действие Постановлением Госстандарта СССР от 15.08.1989 N 2559) {КонсультантПлюс}">
        <w:r>
          <w:rPr>
            <w:sz w:val="24"/>
            <w:color w:val="0000ff"/>
          </w:rPr>
          <w:t xml:space="preserve">ГОСТ 28216</w:t>
        </w:r>
      </w:hyperlink>
      <w:r>
        <w:rPr>
          <w:sz w:val="24"/>
        </w:rPr>
        <w:t xml:space="preserve">. В процессе испытания ОП должен находиться в дежурном режиме.</w:t>
      </w:r>
    </w:p>
    <w:p>
      <w:pPr>
        <w:pStyle w:val="0"/>
        <w:spacing w:before="240" w:lineRule="auto"/>
        <w:ind w:firstLine="540"/>
        <w:jc w:val="both"/>
      </w:pPr>
      <w:r>
        <w:rPr>
          <w:sz w:val="24"/>
        </w:rPr>
        <w:t xml:space="preserve">Используют следующую степень жесткости:</w:t>
      </w:r>
    </w:p>
    <w:p>
      <w:pPr>
        <w:pStyle w:val="0"/>
        <w:spacing w:before="240" w:lineRule="auto"/>
        <w:ind w:firstLine="540"/>
        <w:jc w:val="both"/>
      </w:pPr>
      <w:r>
        <w:rPr>
          <w:sz w:val="24"/>
        </w:rPr>
        <w:t xml:space="preserve">- верхнее значение температуры - (40 +/- 2) °C;</w:t>
      </w:r>
    </w:p>
    <w:p>
      <w:pPr>
        <w:pStyle w:val="0"/>
        <w:spacing w:before="240" w:lineRule="auto"/>
        <w:ind w:firstLine="540"/>
        <w:jc w:val="both"/>
      </w:pPr>
      <w:r>
        <w:rPr>
          <w:sz w:val="24"/>
        </w:rPr>
        <w:t xml:space="preserve">- число циклов - 2.</w:t>
      </w:r>
    </w:p>
    <w:p>
      <w:pPr>
        <w:pStyle w:val="0"/>
        <w:spacing w:before="240" w:lineRule="auto"/>
        <w:ind w:firstLine="540"/>
        <w:jc w:val="both"/>
      </w:pPr>
      <w:r>
        <w:rPr>
          <w:sz w:val="24"/>
        </w:rPr>
        <w:t xml:space="preserve">Перед окончанием испытания ОП подвергают испытаниям по </w:t>
      </w:r>
      <w:hyperlink w:history="0" w:anchor="P582" w:tooltip="8.1 Проверка функционирования">
        <w:r>
          <w:rPr>
            <w:sz w:val="24"/>
            <w:color w:val="0000ff"/>
          </w:rPr>
          <w:t xml:space="preserve">8.1</w:t>
        </w:r>
      </w:hyperlink>
      <w:r>
        <w:rPr>
          <w:sz w:val="24"/>
        </w:rPr>
        <w:t xml:space="preserve">.</w:t>
      </w:r>
    </w:p>
    <w:p>
      <w:pPr>
        <w:pStyle w:val="0"/>
        <w:spacing w:before="240" w:lineRule="auto"/>
        <w:ind w:firstLine="540"/>
        <w:jc w:val="both"/>
      </w:pPr>
      <w:r>
        <w:rPr>
          <w:sz w:val="24"/>
        </w:rPr>
        <w:t xml:space="preserve">После окончания испытания ОП выдерживают в нормальных условиях не менее 2 ч, после чего его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во время и после испытания ОП сохраняют дежурный режим работы;</w:t>
      </w:r>
    </w:p>
    <w:p>
      <w:pPr>
        <w:pStyle w:val="0"/>
        <w:spacing w:before="240" w:lineRule="auto"/>
        <w:ind w:firstLine="540"/>
        <w:jc w:val="both"/>
      </w:pPr>
      <w:r>
        <w:rPr>
          <w:sz w:val="24"/>
        </w:rPr>
        <w:t xml:space="preserve">-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ind w:firstLine="540"/>
        <w:jc w:val="both"/>
      </w:pPr>
      <w:r>
        <w:rPr>
          <w:sz w:val="24"/>
        </w:rPr>
      </w:r>
    </w:p>
    <w:bookmarkStart w:id="700" w:name="P700"/>
    <w:bookmarkEnd w:id="700"/>
    <w:p>
      <w:pPr>
        <w:pStyle w:val="0"/>
        <w:ind w:firstLine="540"/>
        <w:jc w:val="both"/>
      </w:pPr>
      <w:r>
        <w:rPr>
          <w:sz w:val="24"/>
          <w:b w:val="on"/>
        </w:rPr>
        <w:t xml:space="preserve">8.13 Прямой механический удар. Устойчивость (кроме ОПИ)</w:t>
      </w:r>
    </w:p>
    <w:p>
      <w:pPr>
        <w:pStyle w:val="0"/>
        <w:ind w:firstLine="540"/>
        <w:jc w:val="both"/>
      </w:pPr>
      <w:r>
        <w:rPr>
          <w:sz w:val="24"/>
        </w:rPr>
      </w:r>
    </w:p>
    <w:p>
      <w:pPr>
        <w:pStyle w:val="0"/>
        <w:ind w:firstLine="540"/>
        <w:jc w:val="both"/>
      </w:pPr>
      <w:r>
        <w:rPr>
          <w:sz w:val="24"/>
        </w:rPr>
        <w:t xml:space="preserve">Испытательное оборудование должно соответствовать </w:t>
      </w:r>
      <w:hyperlink w:history="0" w:anchor="P871" w:tooltip="ОБОРУДОВАНИЕ ДЛЯ ПРОВЕДЕНИЯ ИСПЫТАНИЙ ОП НА УСТОЙЧИВОСТЬ">
        <w:r>
          <w:rPr>
            <w:sz w:val="24"/>
            <w:color w:val="0000ff"/>
          </w:rPr>
          <w:t xml:space="preserve">приложению Б</w:t>
        </w:r>
      </w:hyperlink>
      <w:r>
        <w:rPr>
          <w:sz w:val="24"/>
        </w:rPr>
        <w:t xml:space="preserve">. Перед проведением испытания необходимо осмотреть ОП и убедиться в отсутствии механических повреждений. ОП должен быть закреплен на стенде и находиться в дежурном режиме работы.</w:t>
      </w:r>
    </w:p>
    <w:p>
      <w:pPr>
        <w:pStyle w:val="0"/>
        <w:spacing w:before="240" w:lineRule="auto"/>
        <w:ind w:firstLine="540"/>
        <w:jc w:val="both"/>
      </w:pPr>
      <w:r>
        <w:rPr>
          <w:sz w:val="24"/>
        </w:rPr>
        <w:t xml:space="preserve">Используют следующие параметры воздействия:</w:t>
      </w:r>
    </w:p>
    <w:p>
      <w:pPr>
        <w:pStyle w:val="0"/>
        <w:spacing w:before="240" w:lineRule="auto"/>
        <w:ind w:firstLine="540"/>
        <w:jc w:val="both"/>
      </w:pPr>
      <w:r>
        <w:rPr>
          <w:sz w:val="24"/>
        </w:rPr>
        <w:t xml:space="preserve">- энергия удара - (1,9 +/- 0,1) Дж;</w:t>
      </w:r>
    </w:p>
    <w:p>
      <w:pPr>
        <w:pStyle w:val="0"/>
        <w:spacing w:before="240" w:lineRule="auto"/>
        <w:ind w:firstLine="540"/>
        <w:jc w:val="both"/>
      </w:pPr>
      <w:r>
        <w:rPr>
          <w:sz w:val="24"/>
        </w:rPr>
        <w:t xml:space="preserve">- число точек - 1;</w:t>
      </w:r>
    </w:p>
    <w:p>
      <w:pPr>
        <w:pStyle w:val="0"/>
        <w:spacing w:before="240" w:lineRule="auto"/>
        <w:ind w:firstLine="540"/>
        <w:jc w:val="both"/>
      </w:pPr>
      <w:r>
        <w:rPr>
          <w:sz w:val="24"/>
        </w:rPr>
        <w:t xml:space="preserve">- скорость движения молотка при ударе - (1,500 +/- 0,125) м/с.</w:t>
      </w:r>
    </w:p>
    <w:p>
      <w:pPr>
        <w:pStyle w:val="0"/>
        <w:spacing w:before="240" w:lineRule="auto"/>
        <w:ind w:firstLine="540"/>
        <w:jc w:val="both"/>
      </w:pPr>
      <w:r>
        <w:rPr>
          <w:sz w:val="24"/>
        </w:rPr>
        <w:t xml:space="preserve">После окончания испытания проводят осмотр ОП на предмет отсутствия механических повреждений (сколов, трещин) и отсутствие ослабления крепления элементов конструкции.</w:t>
      </w:r>
    </w:p>
    <w:p>
      <w:pPr>
        <w:pStyle w:val="0"/>
        <w:spacing w:before="240" w:lineRule="auto"/>
        <w:ind w:firstLine="540"/>
        <w:jc w:val="both"/>
      </w:pPr>
      <w:r>
        <w:rPr>
          <w:sz w:val="24"/>
        </w:rPr>
        <w:t xml:space="preserve">Затем ОП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20" w:tooltip="8.6 Диапазон частот (ОПЗ и ОПР)">
        <w:r>
          <w:rPr>
            <w:sz w:val="24"/>
            <w:color w:val="0000ff"/>
          </w:rPr>
          <w:t xml:space="preserve">8.6</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ОП не имеют механических повреждений или ослабления крепления элементов конструкции;</w:t>
      </w:r>
    </w:p>
    <w:p>
      <w:pPr>
        <w:pStyle w:val="0"/>
        <w:spacing w:before="240" w:lineRule="auto"/>
        <w:ind w:firstLine="540"/>
        <w:jc w:val="both"/>
      </w:pPr>
      <w:r>
        <w:rPr>
          <w:sz w:val="24"/>
        </w:rPr>
        <w:t xml:space="preserve">- во время и после испытания ОП сохраняют дежурный режим работы;</w:t>
      </w:r>
    </w:p>
    <w:p>
      <w:pPr>
        <w:pStyle w:val="0"/>
        <w:spacing w:before="240" w:lineRule="auto"/>
        <w:ind w:firstLine="540"/>
        <w:jc w:val="both"/>
      </w:pPr>
      <w:r>
        <w:rPr>
          <w:sz w:val="24"/>
        </w:rPr>
        <w:t xml:space="preserve">- ОП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w:t>
      </w:r>
      <w:hyperlink w:history="0" w:anchor="P193" w:tooltip="5.1.12 Диапазон воспроизводимых частот должен быть указан в ТД на ОПР конкретных типов, но не уже, чем от 500 до 3500 Гц при неравномерности амплитудно-частотной характеристики в диапазоне не более 16 дБ.">
        <w:r>
          <w:rPr>
            <w:sz w:val="24"/>
            <w:color w:val="0000ff"/>
          </w:rPr>
          <w:t xml:space="preserve">5.1.12</w:t>
        </w:r>
      </w:hyperlink>
      <w:r>
        <w:rPr>
          <w:sz w:val="24"/>
        </w:rPr>
        <w:t xml:space="preserve">.</w:t>
      </w:r>
    </w:p>
    <w:p>
      <w:pPr>
        <w:pStyle w:val="0"/>
        <w:ind w:firstLine="540"/>
        <w:jc w:val="both"/>
      </w:pPr>
      <w:r>
        <w:rPr>
          <w:sz w:val="24"/>
        </w:rPr>
      </w:r>
    </w:p>
    <w:bookmarkStart w:id="714" w:name="P714"/>
    <w:bookmarkEnd w:id="714"/>
    <w:p>
      <w:pPr>
        <w:pStyle w:val="0"/>
        <w:ind w:firstLine="540"/>
        <w:jc w:val="both"/>
      </w:pPr>
      <w:r>
        <w:rPr>
          <w:sz w:val="24"/>
          <w:b w:val="on"/>
        </w:rPr>
        <w:t xml:space="preserve">8.14 Синусоидальная вибрация. Устойчивость</w:t>
      </w:r>
    </w:p>
    <w:p>
      <w:pPr>
        <w:pStyle w:val="0"/>
        <w:ind w:firstLine="540"/>
        <w:jc w:val="both"/>
      </w:pPr>
      <w:r>
        <w:rPr>
          <w:sz w:val="24"/>
        </w:rPr>
      </w:r>
    </w:p>
    <w:p>
      <w:pPr>
        <w:pStyle w:val="0"/>
        <w:ind w:firstLine="540"/>
        <w:jc w:val="both"/>
      </w:pPr>
      <w:r>
        <w:rPr>
          <w:sz w:val="24"/>
        </w:rPr>
        <w:t xml:space="preserve">Испытательное оборудование и метод испытания должны соответствовать </w:t>
      </w:r>
      <w:hyperlink w:history="0" r:id="rId46" w:tooltip="&quot;ГОСТ 28203-89 (МЭК 68-2-6-82). Межгосударственный стандарт. Основные методы испытаний на воздействие внешних факторов. Часть 2. Испытания. Испытание Fc и руководство: Вибрация (синусоидальная)&quot; (введен в действие Постановлением Госстандарта СССР от 15.08.1989 N 2554) {КонсультантПлюс}">
        <w:r>
          <w:rPr>
            <w:sz w:val="24"/>
            <w:color w:val="0000ff"/>
          </w:rPr>
          <w:t xml:space="preserve">ГОСТ 28203</w:t>
        </w:r>
      </w:hyperlink>
      <w:r>
        <w:rPr>
          <w:sz w:val="24"/>
        </w:rPr>
        <w:t xml:space="preserve">. Перед проведением испытания необходимо осмотреть ОП и убедиться в отсутствии механических повреждений. ОП подвергают воздействию вибрации по трем взаимно перпендикулярным осям, одна из которых перпендикулярна плоскости крепления пожарного оповещателя. Число циклов на ось - 1, скорость изменения частоты - не более 1 октава/мин. Используют степень жесткости, установленную в ТД на ОП конкретного типа.</w:t>
      </w:r>
    </w:p>
    <w:p>
      <w:pPr>
        <w:pStyle w:val="0"/>
        <w:spacing w:before="240" w:lineRule="auto"/>
        <w:ind w:firstLine="540"/>
        <w:jc w:val="both"/>
      </w:pPr>
      <w:r>
        <w:rPr>
          <w:sz w:val="24"/>
        </w:rPr>
        <w:t xml:space="preserve">Примечание - При отсутствии в ТД конкретных значений испытания проводят в диапазоне частот от 10 до 55 Гц при постоянной амплитуде смещения 0,35 мм.</w:t>
      </w:r>
    </w:p>
    <w:p>
      <w:pPr>
        <w:pStyle w:val="0"/>
        <w:ind w:firstLine="540"/>
        <w:jc w:val="both"/>
      </w:pPr>
      <w:r>
        <w:rPr>
          <w:sz w:val="24"/>
        </w:rPr>
      </w:r>
    </w:p>
    <w:p>
      <w:pPr>
        <w:pStyle w:val="0"/>
        <w:ind w:firstLine="540"/>
        <w:jc w:val="both"/>
      </w:pPr>
      <w:r>
        <w:rPr>
          <w:sz w:val="24"/>
        </w:rPr>
        <w:t xml:space="preserve">После окончания испытания производят осмотр ОП на предмет отсутствия механических повреждений и отсутствия ослабления крепления элементов конструкции.</w:t>
      </w:r>
    </w:p>
    <w:p>
      <w:pPr>
        <w:pStyle w:val="0"/>
        <w:spacing w:before="240" w:lineRule="auto"/>
        <w:ind w:firstLine="540"/>
        <w:jc w:val="both"/>
      </w:pPr>
      <w:r>
        <w:rPr>
          <w:sz w:val="24"/>
        </w:rPr>
        <w:t xml:space="preserve">Затем ОП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w:t>
      </w:r>
    </w:p>
    <w:p>
      <w:pPr>
        <w:pStyle w:val="0"/>
        <w:spacing w:before="240" w:lineRule="auto"/>
        <w:ind w:firstLine="540"/>
        <w:jc w:val="both"/>
      </w:pPr>
      <w:r>
        <w:rPr>
          <w:sz w:val="24"/>
        </w:rPr>
        <w:t xml:space="preserve">- ОП не имеют механических повреждений или ослабления крепления элементов конструкции;</w:t>
      </w:r>
    </w:p>
    <w:p>
      <w:pPr>
        <w:pStyle w:val="0"/>
        <w:spacing w:before="240" w:lineRule="auto"/>
        <w:ind w:firstLine="540"/>
        <w:jc w:val="both"/>
      </w:pPr>
      <w:r>
        <w:rPr>
          <w:sz w:val="24"/>
        </w:rPr>
        <w:t xml:space="preserve">- во время и после испытания ОП сохраняют дежурный режим работы;</w:t>
      </w:r>
    </w:p>
    <w:p>
      <w:pPr>
        <w:pStyle w:val="0"/>
        <w:spacing w:before="240" w:lineRule="auto"/>
        <w:ind w:firstLine="540"/>
        <w:jc w:val="both"/>
      </w:pPr>
      <w:r>
        <w:rPr>
          <w:sz w:val="24"/>
        </w:rPr>
        <w:t xml:space="preserve">-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ind w:firstLine="540"/>
        <w:jc w:val="both"/>
      </w:pPr>
      <w:r>
        <w:rPr>
          <w:sz w:val="24"/>
        </w:rPr>
      </w:r>
    </w:p>
    <w:bookmarkStart w:id="726" w:name="P726"/>
    <w:bookmarkEnd w:id="726"/>
    <w:p>
      <w:pPr>
        <w:pStyle w:val="0"/>
        <w:ind w:firstLine="540"/>
        <w:jc w:val="both"/>
      </w:pPr>
      <w:r>
        <w:rPr>
          <w:sz w:val="24"/>
          <w:b w:val="on"/>
        </w:rPr>
        <w:t xml:space="preserve">8.15 Электрическая прочность и сопротивление изоляции</w:t>
      </w:r>
    </w:p>
    <w:p>
      <w:pPr>
        <w:pStyle w:val="0"/>
        <w:ind w:firstLine="540"/>
        <w:jc w:val="both"/>
      </w:pPr>
      <w:r>
        <w:rPr>
          <w:sz w:val="24"/>
        </w:rPr>
      </w:r>
    </w:p>
    <w:p>
      <w:pPr>
        <w:pStyle w:val="0"/>
        <w:ind w:firstLine="540"/>
        <w:jc w:val="both"/>
      </w:pPr>
      <w:r>
        <w:rPr>
          <w:sz w:val="24"/>
        </w:rPr>
        <w:t xml:space="preserve">Испытания по определению электрической прочности и сопротивления изоляции проводят для ОП, выполненных в металлическом корпусе, и для ОП, электропитание которых осуществляется по отдельной линии, имеющей гальваническую развязку с сигнальными линиями (линиями управления). Испытания проводят в нормальных климатических условиях. Для испытания используют генератор, обеспечивающий синусоидальное напряжение частотой от 40 до 60 Гц. У ОП, имеющих металлический корпус, все внешние (выводимые из ОП) линии связи (проводники) соединяют вместе. Заземление корпуса ОП (при его наличии) должно быть убрано. Общий провод генератора подсоединяют к корпусу ОП, а выход генератора подключают к соединенным вместе внешним проводникам ОП. У ОП, электропитание которых осуществляется по отдельной линии, имеющей гальваническую развязку с сигнальными линиями (линиями управления), испытательное напряжение прикладывают между всеми соединенными сигнальными линиями (линиями управления) и всеми соединенными линиями электропитания.</w:t>
      </w:r>
    </w:p>
    <w:p>
      <w:pPr>
        <w:pStyle w:val="0"/>
        <w:spacing w:before="240" w:lineRule="auto"/>
        <w:ind w:firstLine="540"/>
        <w:jc w:val="both"/>
      </w:pPr>
      <w:r>
        <w:rPr>
          <w:sz w:val="24"/>
        </w:rPr>
        <w:t xml:space="preserve">Испытательное напряжение плавно увеличивают до значения, определяемого по </w:t>
      </w:r>
      <w:hyperlink w:history="0" w:anchor="P289" w:tooltip="5.5.5.2 Электрическая изоляция должна выдерживать испытательное напряжение в соответствии с таблицей 5.2.">
        <w:r>
          <w:rPr>
            <w:sz w:val="24"/>
            <w:color w:val="0000ff"/>
          </w:rPr>
          <w:t xml:space="preserve">5.5.5.2</w:t>
        </w:r>
      </w:hyperlink>
      <w:r>
        <w:rPr>
          <w:sz w:val="24"/>
        </w:rPr>
        <w:t xml:space="preserve">, и устанавливают на время (60 +/- 5) с, после чего его плавно уменьшают.</w:t>
      </w:r>
    </w:p>
    <w:p>
      <w:pPr>
        <w:pStyle w:val="0"/>
        <w:spacing w:before="240" w:lineRule="auto"/>
        <w:ind w:firstLine="540"/>
        <w:jc w:val="both"/>
      </w:pPr>
      <w:r>
        <w:rPr>
          <w:sz w:val="24"/>
        </w:rPr>
        <w:t xml:space="preserve">Затем между обозначенными клеммами измеряют сопротивление изоляции при напряжении постоянного тока от 100 до 250 В.</w:t>
      </w:r>
    </w:p>
    <w:p>
      <w:pPr>
        <w:pStyle w:val="0"/>
        <w:spacing w:before="240" w:lineRule="auto"/>
        <w:ind w:firstLine="540"/>
        <w:jc w:val="both"/>
      </w:pPr>
      <w:r>
        <w:rPr>
          <w:sz w:val="24"/>
        </w:rPr>
        <w:t xml:space="preserve">ОП считают выдержавшими испытания, если в процессе проведения испытания отсутствуют пробой изоляции и возникновение поверхностного разряда и измеренное сопротивление изоляции свыше 20 МОм.</w:t>
      </w:r>
    </w:p>
    <w:p>
      <w:pPr>
        <w:pStyle w:val="0"/>
        <w:ind w:firstLine="540"/>
        <w:jc w:val="both"/>
      </w:pPr>
      <w:r>
        <w:rPr>
          <w:sz w:val="24"/>
        </w:rPr>
      </w:r>
    </w:p>
    <w:bookmarkStart w:id="733" w:name="P733"/>
    <w:bookmarkEnd w:id="733"/>
    <w:p>
      <w:pPr>
        <w:pStyle w:val="0"/>
        <w:ind w:firstLine="540"/>
        <w:jc w:val="both"/>
      </w:pPr>
      <w:r>
        <w:rPr>
          <w:sz w:val="24"/>
          <w:b w:val="on"/>
        </w:rPr>
        <w:t xml:space="preserve">8.16 Электромагнитная совместимость</w:t>
      </w:r>
    </w:p>
    <w:p>
      <w:pPr>
        <w:pStyle w:val="0"/>
        <w:ind w:firstLine="540"/>
        <w:jc w:val="both"/>
      </w:pPr>
      <w:r>
        <w:rPr>
          <w:sz w:val="24"/>
        </w:rPr>
      </w:r>
    </w:p>
    <w:p>
      <w:pPr>
        <w:pStyle w:val="0"/>
        <w:ind w:firstLine="540"/>
        <w:jc w:val="both"/>
      </w:pPr>
      <w:r>
        <w:rPr>
          <w:sz w:val="24"/>
        </w:rPr>
        <w:t xml:space="preserve">Методика и объем проведения испытаний ОП на устойчивость к воздействию электромагнитных помех и измерение уровня создаваемых ОП индустриальных радиопомех должны соответствовать </w:t>
      </w:r>
      <w:hyperlink w:history="0" w:anchor="P790" w:tooltip="ПОМЕХОУСТОЙЧИВОСТЬ И ПОМЕХОЭМИССИЯ.">
        <w:r>
          <w:rPr>
            <w:sz w:val="24"/>
            <w:color w:val="0000ff"/>
          </w:rPr>
          <w:t xml:space="preserve">приложению А</w:t>
        </w:r>
      </w:hyperlink>
      <w:r>
        <w:rPr>
          <w:sz w:val="24"/>
        </w:rPr>
        <w:t xml:space="preserve">.</w:t>
      </w:r>
    </w:p>
    <w:p>
      <w:pPr>
        <w:pStyle w:val="0"/>
        <w:spacing w:before="240" w:lineRule="auto"/>
        <w:ind w:firstLine="540"/>
        <w:jc w:val="both"/>
      </w:pPr>
      <w:r>
        <w:rPr>
          <w:sz w:val="24"/>
        </w:rPr>
        <w:t xml:space="preserve">После окончания испытания ОП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ОП считают выдержавшими испытания, если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ind w:firstLine="540"/>
        <w:jc w:val="both"/>
      </w:pPr>
      <w:r>
        <w:rPr>
          <w:sz w:val="24"/>
        </w:rPr>
      </w:r>
    </w:p>
    <w:bookmarkStart w:id="739" w:name="P739"/>
    <w:bookmarkEnd w:id="739"/>
    <w:p>
      <w:pPr>
        <w:pStyle w:val="0"/>
        <w:ind w:firstLine="540"/>
        <w:jc w:val="both"/>
      </w:pPr>
      <w:r>
        <w:rPr>
          <w:sz w:val="24"/>
          <w:b w:val="on"/>
        </w:rPr>
        <w:t xml:space="preserve">8.17 Пожарная безопасность</w:t>
      </w:r>
    </w:p>
    <w:p>
      <w:pPr>
        <w:pStyle w:val="0"/>
        <w:ind w:firstLine="540"/>
        <w:jc w:val="both"/>
      </w:pPr>
      <w:r>
        <w:rPr>
          <w:sz w:val="24"/>
        </w:rPr>
      </w:r>
    </w:p>
    <w:p>
      <w:pPr>
        <w:pStyle w:val="0"/>
        <w:ind w:firstLine="540"/>
        <w:jc w:val="both"/>
      </w:pPr>
      <w:r>
        <w:rPr>
          <w:sz w:val="24"/>
        </w:rPr>
        <w:t xml:space="preserve">Перед испытанием на пожарную безопасность проводят анализ электрической схемы и конструкции ОП (кроме пассивных ОПР). В процессе анализа учитывают возможное ограничение мощности, подаваемой на ОП со стороны источника питания. Испытания пассивных ОПР не проводят.</w:t>
      </w:r>
    </w:p>
    <w:p>
      <w:pPr>
        <w:pStyle w:val="0"/>
        <w:spacing w:before="240" w:lineRule="auto"/>
        <w:ind w:firstLine="540"/>
        <w:jc w:val="both"/>
      </w:pPr>
      <w:r>
        <w:rPr>
          <w:sz w:val="24"/>
        </w:rPr>
        <w:t xml:space="preserve">Испытания не проводят, если:</w:t>
      </w:r>
    </w:p>
    <w:p>
      <w:pPr>
        <w:pStyle w:val="0"/>
        <w:spacing w:before="240" w:lineRule="auto"/>
        <w:ind w:firstLine="540"/>
        <w:jc w:val="both"/>
      </w:pPr>
      <w:r>
        <w:rPr>
          <w:sz w:val="24"/>
        </w:rPr>
        <w:t xml:space="preserve">- подаваемая мощность не более 10 Вт;</w:t>
      </w:r>
    </w:p>
    <w:p>
      <w:pPr>
        <w:pStyle w:val="0"/>
        <w:spacing w:before="240" w:lineRule="auto"/>
        <w:ind w:firstLine="540"/>
        <w:jc w:val="both"/>
      </w:pPr>
      <w:r>
        <w:rPr>
          <w:sz w:val="24"/>
        </w:rPr>
        <w:t xml:space="preserve">- проведенный анализ электрической схемы и конструкции ОП позволяет сделать вывод о том, что ОП является пожаробезопасным при замыкании или обрыве внешних контактов и внутренней цепи.</w:t>
      </w:r>
    </w:p>
    <w:p>
      <w:pPr>
        <w:pStyle w:val="0"/>
        <w:spacing w:before="240" w:lineRule="auto"/>
        <w:ind w:firstLine="540"/>
        <w:jc w:val="both"/>
      </w:pPr>
      <w:r>
        <w:rPr>
          <w:sz w:val="24"/>
        </w:rPr>
        <w:t xml:space="preserve">В других случаях экспертным путем определяют наиболее опасную возможность нарушения целостности ОП (короткое замыкание или обрыв внешних и внутренних цепей) и проводят испытания по ГОСТ IEC 60065-2013 (</w:t>
      </w:r>
      <w:hyperlink w:history="0" r:id="rId47" w:tooltip="&quot;ГОСТ IEC 60065-2013. Межгосударственный стандарт. Аудио-, видео- и аналогичная электронная аппаратура. Требования безопасности&quot; (введен в действие Приказом Росстандарта от 02.04.2014 N 291-ст) ------------ Утратил силу или отменен {КонсультантПлюс}">
        <w:r>
          <w:rPr>
            <w:sz w:val="24"/>
            <w:color w:val="0000ff"/>
          </w:rPr>
          <w:t xml:space="preserve">подразделы 4.3</w:t>
        </w:r>
      </w:hyperlink>
      <w:r>
        <w:rPr>
          <w:sz w:val="24"/>
        </w:rPr>
        <w:t xml:space="preserve">, </w:t>
      </w:r>
      <w:hyperlink w:history="0" r:id="rId48" w:tooltip="&quot;ГОСТ IEC 60065-2013. Межгосударственный стандарт. Аудио-, видео- и аналогичная электронная аппаратура. Требования безопасности&quot; (введен в действие Приказом Росстандарта от 02.04.2014 N 291-ст) ------------ Утратил силу или отменен {КонсультантПлюс}">
        <w:r>
          <w:rPr>
            <w:sz w:val="24"/>
            <w:color w:val="0000ff"/>
          </w:rPr>
          <w:t xml:space="preserve">11.2</w:t>
        </w:r>
      </w:hyperlink>
      <w:r>
        <w:rPr>
          <w:sz w:val="24"/>
        </w:rPr>
        <w:t xml:space="preserve">).</w:t>
      </w:r>
    </w:p>
    <w:p>
      <w:pPr>
        <w:pStyle w:val="0"/>
        <w:ind w:firstLine="540"/>
        <w:jc w:val="both"/>
      </w:pPr>
      <w:r>
        <w:rPr>
          <w:sz w:val="24"/>
        </w:rPr>
      </w:r>
    </w:p>
    <w:bookmarkStart w:id="747" w:name="P747"/>
    <w:bookmarkEnd w:id="747"/>
    <w:p>
      <w:pPr>
        <w:pStyle w:val="0"/>
        <w:ind w:firstLine="540"/>
        <w:jc w:val="both"/>
      </w:pPr>
      <w:r>
        <w:rPr>
          <w:sz w:val="24"/>
          <w:b w:val="on"/>
        </w:rPr>
        <w:t xml:space="preserve">8.18 Прочность ОП в упаковке к климатическим и механическим воздействиям</w:t>
      </w:r>
    </w:p>
    <w:p>
      <w:pPr>
        <w:pStyle w:val="0"/>
        <w:ind w:firstLine="540"/>
        <w:jc w:val="both"/>
      </w:pPr>
      <w:r>
        <w:rPr>
          <w:sz w:val="24"/>
        </w:rPr>
      </w:r>
    </w:p>
    <w:p>
      <w:pPr>
        <w:pStyle w:val="0"/>
        <w:ind w:firstLine="540"/>
        <w:jc w:val="both"/>
      </w:pPr>
      <w:r>
        <w:rPr>
          <w:sz w:val="24"/>
        </w:rPr>
        <w:t xml:space="preserve">8.18.1 Перед проведением испытания необходимо осмотреть ОП и убедиться в отсутствии механических повреждений. ОП помещают в индивидуальную упаковку в соответствии с требованиями ТД.</w:t>
      </w:r>
    </w:p>
    <w:p>
      <w:pPr>
        <w:pStyle w:val="0"/>
        <w:spacing w:before="240" w:lineRule="auto"/>
        <w:ind w:firstLine="540"/>
        <w:jc w:val="both"/>
      </w:pPr>
      <w:r>
        <w:rPr>
          <w:sz w:val="24"/>
        </w:rPr>
        <w:t xml:space="preserve">ОП в упаковке последовательно подвергают воздействиям пониженной температуры, повышенной температуры, повышенной влажности, многократным механическим ударам.</w:t>
      </w:r>
    </w:p>
    <w:bookmarkStart w:id="751" w:name="P751"/>
    <w:bookmarkEnd w:id="751"/>
    <w:p>
      <w:pPr>
        <w:pStyle w:val="0"/>
        <w:spacing w:before="240" w:lineRule="auto"/>
        <w:ind w:firstLine="540"/>
        <w:jc w:val="both"/>
      </w:pPr>
      <w:r>
        <w:rPr>
          <w:sz w:val="24"/>
          <w:b w:val="on"/>
        </w:rPr>
        <w:t xml:space="preserve">8.18.2 Прочность к воздействию пониженной температуры</w:t>
      </w:r>
    </w:p>
    <w:p>
      <w:pPr>
        <w:pStyle w:val="0"/>
        <w:spacing w:before="240" w:lineRule="auto"/>
        <w:ind w:firstLine="540"/>
        <w:jc w:val="both"/>
      </w:pPr>
      <w:r>
        <w:rPr>
          <w:sz w:val="24"/>
        </w:rPr>
        <w:t xml:space="preserve">Испытательное оборудование и метод испытания должны соответствовать </w:t>
      </w:r>
      <w:hyperlink w:history="0" r:id="rId49" w:tooltip="&quot;ГОСТ 28199-89 (МЭК 68-2-1-74). Межгосударственный стандарт. Основные методы испытаний на воздействие внешних факторов. Часть 2. Испытания. Испытание А: Холод&quot; (введен в действие Постановлением Госстандарта СССР от 15.08.1989 N 2553) (ред. от 01.08.1998) {КонсультантПлюс}">
        <w:r>
          <w:rPr>
            <w:sz w:val="24"/>
            <w:color w:val="0000ff"/>
          </w:rPr>
          <w:t xml:space="preserve">ГОСТ 28199</w:t>
        </w:r>
      </w:hyperlink>
      <w:r>
        <w:rPr>
          <w:sz w:val="24"/>
        </w:rPr>
        <w:t xml:space="preserve">. Используют следующую степень жесткости:</w:t>
      </w:r>
    </w:p>
    <w:p>
      <w:pPr>
        <w:pStyle w:val="0"/>
        <w:spacing w:before="240" w:lineRule="auto"/>
        <w:ind w:firstLine="540"/>
        <w:jc w:val="both"/>
      </w:pPr>
      <w:r>
        <w:rPr>
          <w:sz w:val="24"/>
        </w:rPr>
        <w:t xml:space="preserve">- температура, установленная в ТД на ОП конкретных типов, но не выше минус 25 °C;</w:t>
      </w:r>
    </w:p>
    <w:p>
      <w:pPr>
        <w:pStyle w:val="0"/>
        <w:spacing w:before="240" w:lineRule="auto"/>
        <w:ind w:firstLine="540"/>
        <w:jc w:val="both"/>
      </w:pPr>
      <w:r>
        <w:rPr>
          <w:sz w:val="24"/>
        </w:rPr>
        <w:t xml:space="preserve">- длительность не менее 16 ч.</w:t>
      </w:r>
    </w:p>
    <w:p>
      <w:pPr>
        <w:pStyle w:val="0"/>
        <w:spacing w:before="240" w:lineRule="auto"/>
        <w:ind w:firstLine="540"/>
        <w:jc w:val="both"/>
      </w:pPr>
      <w:r>
        <w:rPr>
          <w:sz w:val="24"/>
        </w:rPr>
        <w:t xml:space="preserve">После выдержки при пониженной температуре ОП в упаковке выдерживают в нормальных климатических условиях не менее 12 ч.</w:t>
      </w:r>
    </w:p>
    <w:p>
      <w:pPr>
        <w:pStyle w:val="0"/>
        <w:spacing w:before="240" w:lineRule="auto"/>
        <w:ind w:firstLine="540"/>
        <w:jc w:val="both"/>
      </w:pPr>
      <w:r>
        <w:rPr>
          <w:sz w:val="24"/>
          <w:b w:val="on"/>
        </w:rPr>
        <w:t xml:space="preserve">8.18.3 Прочность к воздействию повышенной температуры</w:t>
      </w:r>
    </w:p>
    <w:p>
      <w:pPr>
        <w:pStyle w:val="0"/>
        <w:spacing w:before="240" w:lineRule="auto"/>
        <w:ind w:firstLine="540"/>
        <w:jc w:val="both"/>
      </w:pPr>
      <w:r>
        <w:rPr>
          <w:sz w:val="24"/>
        </w:rPr>
        <w:t xml:space="preserve">Испытательное оборудование и метод испытания должны соответствовать </w:t>
      </w:r>
      <w:hyperlink w:history="0" r:id="rId50" w:tooltip="&quot;ГОСТ 28200-89 (МЭК 68-2-2-74). Межгосударственный стандарт. Основные методы испытаний на воздействие внешних факторов. Часть 2. Испытания. Испытание B: Сухое тепло&quot; (введен в действие Постановлением Госстандарта СССР от 15.08.1989 N 2553) (ред. от 01.11.1997) {КонсультантПлюс}">
        <w:r>
          <w:rPr>
            <w:sz w:val="24"/>
            <w:color w:val="0000ff"/>
          </w:rPr>
          <w:t xml:space="preserve">ГОСТ 28200</w:t>
        </w:r>
      </w:hyperlink>
      <w:r>
        <w:rPr>
          <w:sz w:val="24"/>
        </w:rPr>
        <w:t xml:space="preserve">. Используют следующую степень жесткости:</w:t>
      </w:r>
    </w:p>
    <w:p>
      <w:pPr>
        <w:pStyle w:val="0"/>
        <w:spacing w:before="240" w:lineRule="auto"/>
        <w:ind w:firstLine="540"/>
        <w:jc w:val="both"/>
      </w:pPr>
      <w:r>
        <w:rPr>
          <w:sz w:val="24"/>
        </w:rPr>
        <w:t xml:space="preserve">- температура, установленная в ТД на ОП конкретных типов, но не ниже 55 °C;</w:t>
      </w:r>
    </w:p>
    <w:p>
      <w:pPr>
        <w:pStyle w:val="0"/>
        <w:spacing w:before="240" w:lineRule="auto"/>
        <w:ind w:firstLine="540"/>
        <w:jc w:val="both"/>
      </w:pPr>
      <w:r>
        <w:rPr>
          <w:sz w:val="24"/>
        </w:rPr>
        <w:t xml:space="preserve">- длительность не менее 16 ч.</w:t>
      </w:r>
    </w:p>
    <w:p>
      <w:pPr>
        <w:pStyle w:val="0"/>
        <w:spacing w:before="240" w:lineRule="auto"/>
        <w:ind w:firstLine="540"/>
        <w:jc w:val="both"/>
      </w:pPr>
      <w:r>
        <w:rPr>
          <w:sz w:val="24"/>
        </w:rPr>
        <w:t xml:space="preserve">После выдержки при повышенной температуре ОП в упаковке выдерживают в нормальных климатических условиях не менее 12 ч.</w:t>
      </w:r>
    </w:p>
    <w:p>
      <w:pPr>
        <w:pStyle w:val="0"/>
        <w:spacing w:before="240" w:lineRule="auto"/>
        <w:ind w:firstLine="540"/>
        <w:jc w:val="both"/>
      </w:pPr>
      <w:r>
        <w:rPr>
          <w:sz w:val="24"/>
          <w:b w:val="on"/>
        </w:rPr>
        <w:t xml:space="preserve">8.18.4 Прочность к воздействию повышенной влажности</w:t>
      </w:r>
    </w:p>
    <w:p>
      <w:pPr>
        <w:pStyle w:val="0"/>
        <w:spacing w:before="240" w:lineRule="auto"/>
        <w:ind w:firstLine="540"/>
        <w:jc w:val="both"/>
      </w:pPr>
      <w:r>
        <w:rPr>
          <w:sz w:val="24"/>
        </w:rPr>
        <w:t xml:space="preserve">Испытательное оборудование и метод испытания должны соответствовать </w:t>
      </w:r>
      <w:hyperlink w:history="0" r:id="rId51" w:tooltip="&quot;ГОСТ 28201-89 (МЭК 68-2-3-69). Межгосударственный стандарт. Основные методы испытаний на воздействие внешних факторов. Часть 2. Испытания. Испытание Ca: влажное тепло, постоянный режим&quot; (введен в действие Постановлением Госстандарта СССР от 15.08.1989 N 2554) {КонсультантПлюс}">
        <w:r>
          <w:rPr>
            <w:sz w:val="24"/>
            <w:color w:val="0000ff"/>
          </w:rPr>
          <w:t xml:space="preserve">ГОСТ 28201</w:t>
        </w:r>
      </w:hyperlink>
      <w:r>
        <w:rPr>
          <w:sz w:val="24"/>
        </w:rPr>
        <w:t xml:space="preserve">. Используют следующую степень жесткости:</w:t>
      </w:r>
    </w:p>
    <w:p>
      <w:pPr>
        <w:pStyle w:val="0"/>
        <w:spacing w:before="240" w:lineRule="auto"/>
        <w:ind w:firstLine="540"/>
        <w:jc w:val="both"/>
      </w:pPr>
      <w:r>
        <w:rPr>
          <w:sz w:val="24"/>
        </w:rPr>
        <w:t xml:space="preserve">- температура - (40 +/- 2) °C;</w:t>
      </w:r>
    </w:p>
    <w:p>
      <w:pPr>
        <w:pStyle w:val="0"/>
        <w:spacing w:before="240" w:lineRule="auto"/>
        <w:ind w:firstLine="540"/>
        <w:jc w:val="both"/>
      </w:pPr>
      <w:r>
        <w:rPr>
          <w:sz w:val="24"/>
        </w:rPr>
        <w:t xml:space="preserve">- относительная влажность - </w:t>
      </w:r>
      <w:r>
        <w:rPr>
          <w:position w:val="-14"/>
        </w:rPr>
        <w:drawing>
          <wp:inline distT="0" distB="0" distL="0" distR="0">
            <wp:extent cx="67437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674370" cy="33147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 длительность не менее 4 сут.</w:t>
      </w:r>
    </w:p>
    <w:p>
      <w:pPr>
        <w:pStyle w:val="0"/>
        <w:spacing w:before="240" w:lineRule="auto"/>
        <w:ind w:firstLine="540"/>
        <w:jc w:val="both"/>
      </w:pPr>
      <w:r>
        <w:rPr>
          <w:sz w:val="24"/>
        </w:rPr>
        <w:t xml:space="preserve">После выдержки при повышенной влажности ОП в упаковке выдерживают в нормальных климатических условиях не менее 12 ч.</w:t>
      </w:r>
    </w:p>
    <w:bookmarkStart w:id="767" w:name="P767"/>
    <w:bookmarkEnd w:id="767"/>
    <w:p>
      <w:pPr>
        <w:pStyle w:val="0"/>
        <w:spacing w:before="240" w:lineRule="auto"/>
        <w:ind w:firstLine="540"/>
        <w:jc w:val="both"/>
      </w:pPr>
      <w:r>
        <w:rPr>
          <w:sz w:val="24"/>
          <w:b w:val="on"/>
        </w:rPr>
        <w:t xml:space="preserve">8.18.5 Прочность к воздействию многократных механических ударов</w:t>
      </w:r>
    </w:p>
    <w:p>
      <w:pPr>
        <w:pStyle w:val="0"/>
        <w:spacing w:before="240" w:lineRule="auto"/>
        <w:ind w:firstLine="540"/>
        <w:jc w:val="both"/>
      </w:pPr>
      <w:r>
        <w:rPr>
          <w:sz w:val="24"/>
        </w:rPr>
        <w:t xml:space="preserve">Испытательное оборудование и метод испытания должны соответствовать </w:t>
      </w:r>
      <w:hyperlink w:history="0" r:id="rId52" w:tooltip="&quot;ГОСТ 28215-89 (МЭК 68-2-29-87). Межгосударственный стандарт. Основные методы испытаний на воздействие внешних факторов. Часть 2. Испытания. Испытание Eb и руководство: многократные удары&quot; (введен в действие Постановлением Госстандарта СССР от 15.08.1989 N 2558) {КонсультантПлюс}">
        <w:r>
          <w:rPr>
            <w:sz w:val="24"/>
            <w:color w:val="0000ff"/>
          </w:rPr>
          <w:t xml:space="preserve">ГОСТ 28215</w:t>
        </w:r>
      </w:hyperlink>
      <w:r>
        <w:rPr>
          <w:sz w:val="24"/>
        </w:rPr>
        <w:t xml:space="preserve">. Используют следующую степень жесткости:</w:t>
      </w:r>
    </w:p>
    <w:p>
      <w:pPr>
        <w:pStyle w:val="0"/>
        <w:spacing w:before="240" w:lineRule="auto"/>
        <w:ind w:firstLine="540"/>
        <w:jc w:val="both"/>
      </w:pPr>
      <w:r>
        <w:rPr>
          <w:sz w:val="24"/>
        </w:rPr>
        <w:t xml:space="preserve">- форма ударного импульса - полусинусоида;</w:t>
      </w:r>
    </w:p>
    <w:p>
      <w:pPr>
        <w:pStyle w:val="0"/>
        <w:spacing w:before="240" w:lineRule="auto"/>
        <w:ind w:firstLine="540"/>
        <w:jc w:val="both"/>
      </w:pPr>
      <w:r>
        <w:rPr>
          <w:sz w:val="24"/>
        </w:rPr>
        <w:t xml:space="preserve">- частота ударов - 60 мин-1;</w:t>
      </w:r>
    </w:p>
    <w:p>
      <w:pPr>
        <w:pStyle w:val="0"/>
        <w:spacing w:before="240" w:lineRule="auto"/>
        <w:ind w:firstLine="540"/>
        <w:jc w:val="both"/>
      </w:pPr>
      <w:r>
        <w:rPr>
          <w:sz w:val="24"/>
        </w:rPr>
        <w:t xml:space="preserve">- продолжительность ударного импульса - 6 мс;</w:t>
      </w:r>
    </w:p>
    <w:p>
      <w:pPr>
        <w:pStyle w:val="0"/>
        <w:spacing w:before="240" w:lineRule="auto"/>
        <w:ind w:firstLine="540"/>
        <w:jc w:val="both"/>
      </w:pPr>
      <w:r>
        <w:rPr>
          <w:sz w:val="24"/>
        </w:rPr>
        <w:t xml:space="preserve">- пиковое ускорение - 40g;</w:t>
      </w:r>
    </w:p>
    <w:p>
      <w:pPr>
        <w:pStyle w:val="0"/>
        <w:spacing w:before="240" w:lineRule="auto"/>
        <w:ind w:firstLine="540"/>
        <w:jc w:val="both"/>
      </w:pPr>
      <w:r>
        <w:rPr>
          <w:sz w:val="24"/>
        </w:rPr>
        <w:t xml:space="preserve">- число осей - 3;</w:t>
      </w:r>
    </w:p>
    <w:p>
      <w:pPr>
        <w:pStyle w:val="0"/>
        <w:spacing w:before="240" w:lineRule="auto"/>
        <w:ind w:firstLine="540"/>
        <w:jc w:val="both"/>
      </w:pPr>
      <w:r>
        <w:rPr>
          <w:sz w:val="24"/>
        </w:rPr>
        <w:t xml:space="preserve">- количество ударов на каждую ось - 1000.</w:t>
      </w:r>
    </w:p>
    <w:bookmarkStart w:id="775" w:name="P775"/>
    <w:bookmarkEnd w:id="775"/>
    <w:p>
      <w:pPr>
        <w:pStyle w:val="0"/>
        <w:spacing w:before="240" w:lineRule="auto"/>
        <w:ind w:firstLine="540"/>
        <w:jc w:val="both"/>
      </w:pPr>
      <w:r>
        <w:rPr>
          <w:sz w:val="24"/>
        </w:rPr>
        <w:t xml:space="preserve">8.18.6 После окончания испытаний по </w:t>
      </w:r>
      <w:hyperlink w:history="0" w:anchor="P751" w:tooltip="8.18.2 Прочность к воздействию пониженной температуры">
        <w:r>
          <w:rPr>
            <w:sz w:val="24"/>
            <w:color w:val="0000ff"/>
          </w:rPr>
          <w:t xml:space="preserve">8.18.2</w:t>
        </w:r>
      </w:hyperlink>
      <w:r>
        <w:rPr>
          <w:sz w:val="24"/>
        </w:rPr>
        <w:t xml:space="preserve"> - </w:t>
      </w:r>
      <w:hyperlink w:history="0" w:anchor="P767" w:tooltip="8.18.5 Прочность к воздействию многократных механических ударов">
        <w:r>
          <w:rPr>
            <w:sz w:val="24"/>
            <w:color w:val="0000ff"/>
          </w:rPr>
          <w:t xml:space="preserve">8.18.5</w:t>
        </w:r>
      </w:hyperlink>
      <w:r>
        <w:rPr>
          <w:sz w:val="24"/>
        </w:rPr>
        <w:t xml:space="preserve"> ОП распаковывают и подвергают испытаниям по </w:t>
      </w:r>
      <w:hyperlink w:history="0" w:anchor="P582" w:tooltip="8.1 Проверка функционирования">
        <w:r>
          <w:rPr>
            <w:sz w:val="24"/>
            <w:color w:val="0000ff"/>
          </w:rPr>
          <w:t xml:space="preserve">8.1</w:t>
        </w:r>
      </w:hyperlink>
      <w:r>
        <w:rPr>
          <w:sz w:val="24"/>
        </w:rPr>
        <w:t xml:space="preserve">, </w:t>
      </w:r>
      <w:hyperlink w:history="0" w:anchor="P589" w:tooltip="8.2 Размер информационных знаков ОПС">
        <w:r>
          <w:rPr>
            <w:sz w:val="24"/>
            <w:color w:val="0000ff"/>
          </w:rPr>
          <w:t xml:space="preserve">8.2</w:t>
        </w:r>
      </w:hyperlink>
      <w:r>
        <w:rPr>
          <w:sz w:val="24"/>
        </w:rPr>
        <w:t xml:space="preserve">, </w:t>
      </w:r>
      <w:hyperlink w:history="0" w:anchor="P601" w:tooltip="8.4 Частота мигания (мигающие ОПС)">
        <w:r>
          <w:rPr>
            <w:sz w:val="24"/>
            <w:color w:val="0000ff"/>
          </w:rPr>
          <w:t xml:space="preserve">8.4</w:t>
        </w:r>
      </w:hyperlink>
      <w:r>
        <w:rPr>
          <w:sz w:val="24"/>
        </w:rPr>
        <w:t xml:space="preserve"> - </w:t>
      </w:r>
      <w:hyperlink w:history="0" w:anchor="P638" w:tooltip="8.8 Значение токовых воздействий (для электротоковых ОПИ)">
        <w:r>
          <w:rPr>
            <w:sz w:val="24"/>
            <w:color w:val="0000ff"/>
          </w:rPr>
          <w:t xml:space="preserve">8.8</w:t>
        </w:r>
      </w:hyperlink>
      <w:r>
        <w:rPr>
          <w:sz w:val="24"/>
        </w:rPr>
        <w:t xml:space="preserve"> в соответствии с типом ОП.</w:t>
      </w:r>
    </w:p>
    <w:p>
      <w:pPr>
        <w:pStyle w:val="0"/>
        <w:spacing w:before="240" w:lineRule="auto"/>
        <w:ind w:firstLine="540"/>
        <w:jc w:val="both"/>
      </w:pPr>
      <w:r>
        <w:rPr>
          <w:sz w:val="24"/>
        </w:rPr>
        <w:t xml:space="preserve">8.18.7 При необходимости или при сокращенном объеме испытаний по </w:t>
      </w:r>
      <w:hyperlink w:history="0" w:anchor="P751" w:tooltip="8.18.2 Прочность к воздействию пониженной температуры">
        <w:r>
          <w:rPr>
            <w:sz w:val="24"/>
            <w:color w:val="0000ff"/>
          </w:rPr>
          <w:t xml:space="preserve">8.18.2</w:t>
        </w:r>
      </w:hyperlink>
      <w:r>
        <w:rPr>
          <w:sz w:val="24"/>
        </w:rPr>
        <w:t xml:space="preserve"> - </w:t>
      </w:r>
      <w:hyperlink w:history="0" w:anchor="P767" w:tooltip="8.18.5 Прочность к воздействию многократных механических ударов">
        <w:r>
          <w:rPr>
            <w:sz w:val="24"/>
            <w:color w:val="0000ff"/>
          </w:rPr>
          <w:t xml:space="preserve">8.18.5</w:t>
        </w:r>
      </w:hyperlink>
      <w:r>
        <w:rPr>
          <w:sz w:val="24"/>
        </w:rPr>
        <w:t xml:space="preserve"> испытания по </w:t>
      </w:r>
      <w:hyperlink w:history="0" w:anchor="P775" w:tooltip="8.18.6 После окончания испытаний по 8.18.2 - 8.18.5 ОП распаковывают и подвергают испытаниям по 8.1, 8.2, 8.4 - 8.8 в соответствии с типом ОП.">
        <w:r>
          <w:rPr>
            <w:sz w:val="24"/>
            <w:color w:val="0000ff"/>
          </w:rPr>
          <w:t xml:space="preserve">8.18.6</w:t>
        </w:r>
      </w:hyperlink>
      <w:r>
        <w:rPr>
          <w:sz w:val="24"/>
        </w:rPr>
        <w:t xml:space="preserve"> проводят после каждого испытания по </w:t>
      </w:r>
      <w:hyperlink w:history="0" w:anchor="P751" w:tooltip="8.18.2 Прочность к воздействию пониженной температуры">
        <w:r>
          <w:rPr>
            <w:sz w:val="24"/>
            <w:color w:val="0000ff"/>
          </w:rPr>
          <w:t xml:space="preserve">8.18.2</w:t>
        </w:r>
      </w:hyperlink>
      <w:r>
        <w:rPr>
          <w:sz w:val="24"/>
        </w:rPr>
        <w:t xml:space="preserve"> - </w:t>
      </w:r>
      <w:hyperlink w:history="0" w:anchor="P767" w:tooltip="8.18.5 Прочность к воздействию многократных механических ударов">
        <w:r>
          <w:rPr>
            <w:sz w:val="24"/>
            <w:color w:val="0000ff"/>
          </w:rPr>
          <w:t xml:space="preserve">8.18.5</w:t>
        </w:r>
      </w:hyperlink>
      <w:r>
        <w:rPr>
          <w:sz w:val="24"/>
        </w:rPr>
        <w:t xml:space="preserve">.</w:t>
      </w:r>
    </w:p>
    <w:p>
      <w:pPr>
        <w:pStyle w:val="0"/>
        <w:spacing w:before="240" w:lineRule="auto"/>
        <w:ind w:firstLine="540"/>
        <w:jc w:val="both"/>
      </w:pPr>
      <w:r>
        <w:rPr>
          <w:sz w:val="24"/>
        </w:rPr>
        <w:t xml:space="preserve">8.18.8 ОП считают выдержавшими испытания, если ОП в зависимости от их типа удовлетворяют требованиям, указанным в </w:t>
      </w:r>
      <w:hyperlink w:history="0" w:anchor="P172" w:tooltip="5.1.1 ОП должны обеспечивать информирование людей о возникновении пожара, путях эвакуации, режимах работы автоматических систем противопожарной защиты (при необходимости) посредством формирования светового, звукового, речевого или иного сигнала, оказывающего влияние на органы чувств человека.">
        <w:r>
          <w:rPr>
            <w:sz w:val="24"/>
            <w:color w:val="0000ff"/>
          </w:rPr>
          <w:t xml:space="preserve">5.1.1</w:t>
        </w:r>
      </w:hyperlink>
      <w:r>
        <w:rPr>
          <w:sz w:val="24"/>
        </w:rPr>
        <w:t xml:space="preserve">, </w:t>
      </w:r>
      <w:hyperlink w:history="0" w:anchor="P176" w:tooltip="5.1.5 Уровень звукового давления, развиваемый ОПЗ (кроме ОПИ) на расстоянии 1,0 м, должен быть не менее 85 дБ. Уровень звукового давления и параметры диаграммы направленности должны быть указаны в ТД на ОПЗ конкретных типов.">
        <w:r>
          <w:rPr>
            <w:sz w:val="24"/>
            <w:color w:val="0000ff"/>
          </w:rPr>
          <w:t xml:space="preserve">5.1.5</w:t>
        </w:r>
      </w:hyperlink>
      <w:r>
        <w:rPr>
          <w:sz w:val="24"/>
        </w:rPr>
        <w:t xml:space="preserve"> - </w:t>
      </w:r>
      <w:hyperlink w:history="0" w:anchor="P181" w:tooltip="5.1.7 Размеры информационных знаков, отображаемых ОПС (буквы, символы и т.п.), должны удовлетворять требованиям к расстоянию их распознавания и соответствовать требованиям ГОСТ 12.4.026. Значение дистанционного фактора Z принимают не более 100.">
        <w:r>
          <w:rPr>
            <w:sz w:val="24"/>
            <w:color w:val="0000ff"/>
          </w:rPr>
          <w:t xml:space="preserve">5.1.7</w:t>
        </w:r>
      </w:hyperlink>
      <w:r>
        <w:rPr>
          <w:sz w:val="24"/>
        </w:rPr>
        <w:t xml:space="preserve">, </w:t>
      </w:r>
      <w:hyperlink w:history="0" w:anchor="P189" w:tooltip="5.1.9 Мигающий ОПС должен иметь частоту мигания в диапазоне от 0,5 до 2,0 Гц. Частота мигания должна быть указана в ТД на ОПС конкретных типов.">
        <w:r>
          <w:rPr>
            <w:sz w:val="24"/>
            <w:color w:val="0000ff"/>
          </w:rPr>
          <w:t xml:space="preserve">5.1.9</w:t>
        </w:r>
      </w:hyperlink>
      <w:r>
        <w:rPr>
          <w:sz w:val="24"/>
        </w:rPr>
        <w:t xml:space="preserve">, </w:t>
      </w:r>
      <w:hyperlink w:history="0" w:anchor="P191" w:tooltip="5.1.11 Уровень звукового давления, развиваемый ОПР (кроме ОПИ) на расстоянии 1,0 м, должен быть не менее 70 дБ. Уровень звукового давления и параметры диаграммы направленности должны быть указаны в ТД на ОПР конкретных типов.">
        <w:r>
          <w:rPr>
            <w:sz w:val="24"/>
            <w:color w:val="0000ff"/>
          </w:rPr>
          <w:t xml:space="preserve">5.1.11</w:t>
        </w:r>
      </w:hyperlink>
      <w:r>
        <w:rPr>
          <w:sz w:val="24"/>
        </w:rPr>
        <w:t xml:space="preserve"> - </w:t>
      </w:r>
      <w:hyperlink w:history="0" w:anchor="P194" w:tooltip="5.1.13 Вибрационные ОПИ должны обеспечивать мощность, подводимую к вибромотору, не менее 80 мВт. Отношение интервала времени работы в режиме оповещения к суммарному времени работы вибромотора (скважность) должно быть не более 5.">
        <w:r>
          <w:rPr>
            <w:sz w:val="24"/>
            <w:color w:val="0000ff"/>
          </w:rPr>
          <w:t xml:space="preserve">5.1.13</w:t>
        </w:r>
      </w:hyperlink>
      <w:r>
        <w:rPr>
          <w:sz w:val="24"/>
        </w:rPr>
        <w:t xml:space="preserve">, </w:t>
      </w:r>
      <w:hyperlink w:history="0" w:anchor="P198" w:tooltip="5.1.15 Параметры электрических воздействий электротоковых ОПИ не должны превышать значений, указанных в таблице 5.1, с учетом времени воздействия, и должны быть установлены в ТД на электротоковые ОПИ конкретных типов.">
        <w:r>
          <w:rPr>
            <w:sz w:val="24"/>
            <w:color w:val="0000ff"/>
          </w:rPr>
          <w:t xml:space="preserve">5.1.15</w:t>
        </w:r>
      </w:hyperlink>
      <w:r>
        <w:rPr>
          <w:sz w:val="24"/>
        </w:rPr>
        <w:t xml:space="preserve">.</w:t>
      </w:r>
    </w:p>
    <w:p>
      <w:pPr>
        <w:pStyle w:val="0"/>
        <w:ind w:firstLine="540"/>
        <w:jc w:val="both"/>
      </w:pPr>
      <w:r>
        <w:rPr>
          <w:sz w:val="24"/>
        </w:rPr>
      </w:r>
    </w:p>
    <w:bookmarkStart w:id="779" w:name="P779"/>
    <w:bookmarkEnd w:id="779"/>
    <w:p>
      <w:pPr>
        <w:pStyle w:val="0"/>
        <w:ind w:firstLine="540"/>
        <w:jc w:val="both"/>
      </w:pPr>
      <w:r>
        <w:rPr>
          <w:sz w:val="24"/>
          <w:b w:val="on"/>
        </w:rPr>
        <w:t xml:space="preserve">8.19 Отсутствие влияния неисправности ОП при пожаре на работоспособность других ОП, подключенных к тем же проводным линиям связи</w:t>
      </w:r>
    </w:p>
    <w:p>
      <w:pPr>
        <w:pStyle w:val="0"/>
        <w:ind w:firstLine="540"/>
        <w:jc w:val="both"/>
      </w:pPr>
      <w:r>
        <w:rPr>
          <w:sz w:val="24"/>
        </w:rPr>
      </w:r>
    </w:p>
    <w:p>
      <w:pPr>
        <w:pStyle w:val="0"/>
        <w:ind w:firstLine="540"/>
        <w:jc w:val="both"/>
      </w:pPr>
      <w:r>
        <w:rPr>
          <w:sz w:val="24"/>
        </w:rPr>
        <w:t xml:space="preserve">Испытание ОП на отсутствие влияния его неисправности в результате теплового воздействия при пожаре на работоспособность других ОП, подключенных к тем же проводным линиям, проводят в соответствии с </w:t>
      </w:r>
      <w:hyperlink w:history="0" w:anchor="P905" w:tooltip="ИСПЫТАНИЕ НА ОТСУТСТВИЕ ВЛИЯНИЯ НЕИСПРАВНОСТИ ОП">
        <w:r>
          <w:rPr>
            <w:sz w:val="24"/>
            <w:color w:val="0000ff"/>
          </w:rPr>
          <w:t xml:space="preserve">приложением В</w:t>
        </w:r>
      </w:hyperlink>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А</w:t>
      </w:r>
    </w:p>
    <w:p>
      <w:pPr>
        <w:pStyle w:val="0"/>
        <w:jc w:val="right"/>
      </w:pPr>
      <w:r>
        <w:rPr>
          <w:sz w:val="24"/>
          <w:b w:val="on"/>
        </w:rPr>
        <w:t xml:space="preserve">(обязательное)</w:t>
      </w:r>
    </w:p>
    <w:p>
      <w:pPr>
        <w:pStyle w:val="0"/>
        <w:ind w:firstLine="540"/>
        <w:jc w:val="both"/>
      </w:pPr>
      <w:r>
        <w:rPr>
          <w:sz w:val="24"/>
        </w:rPr>
      </w:r>
    </w:p>
    <w:bookmarkStart w:id="790" w:name="P790"/>
    <w:bookmarkEnd w:id="790"/>
    <w:p>
      <w:pPr>
        <w:pStyle w:val="2"/>
        <w:jc w:val="center"/>
      </w:pPr>
      <w:r>
        <w:rPr>
          <w:sz w:val="24"/>
          <w:b w:val="on"/>
        </w:rPr>
        <w:t xml:space="preserve">ПОМЕХОУСТОЙЧИВОСТЬ И ПОМЕХОЭМИССИЯ.</w:t>
      </w:r>
    </w:p>
    <w:p>
      <w:pPr>
        <w:pStyle w:val="2"/>
        <w:jc w:val="center"/>
      </w:pPr>
      <w:r>
        <w:rPr>
          <w:sz w:val="24"/>
          <w:b w:val="on"/>
        </w:rPr>
        <w:t xml:space="preserve">ТЕХНИЧЕСКИЕ ТРЕБОВАНИЯ. МЕТОДЫ ИСПЫТАНИЙ</w:t>
      </w:r>
    </w:p>
    <w:p>
      <w:pPr>
        <w:pStyle w:val="0"/>
        <w:ind w:firstLine="540"/>
        <w:jc w:val="both"/>
      </w:pPr>
      <w:r>
        <w:rPr>
          <w:sz w:val="24"/>
        </w:rPr>
      </w:r>
    </w:p>
    <w:p>
      <w:pPr>
        <w:pStyle w:val="0"/>
        <w:ind w:firstLine="540"/>
        <w:jc w:val="both"/>
      </w:pPr>
      <w:r>
        <w:rPr>
          <w:sz w:val="24"/>
          <w:b w:val="on"/>
        </w:rPr>
        <w:t xml:space="preserve">А.1 Общие положения</w:t>
      </w:r>
    </w:p>
    <w:p>
      <w:pPr>
        <w:pStyle w:val="0"/>
        <w:ind w:firstLine="540"/>
        <w:jc w:val="both"/>
      </w:pPr>
      <w:r>
        <w:rPr>
          <w:sz w:val="24"/>
        </w:rPr>
      </w:r>
    </w:p>
    <w:p>
      <w:pPr>
        <w:pStyle w:val="0"/>
        <w:ind w:firstLine="540"/>
        <w:jc w:val="both"/>
      </w:pPr>
      <w:r>
        <w:rPr>
          <w:sz w:val="24"/>
        </w:rPr>
        <w:t xml:space="preserve">А.1.1 Термины и определения, применяемые при регламентировании требований по электромагнитной совместимости к ОП в соответствии с </w:t>
      </w:r>
      <w:hyperlink w:history="0" r:id="rId53" w:tooltip="&quot;ГОСТ 30372-2017 (IEC 60050-161:1990). Межгосударственный стандарт. Совместимость технических средств электромагнитная. Термины и определения&quot; (введен в действие Приказом Росстандарта от 14.12.2017 N 1980-ст) {КонсультантПлюс}">
        <w:r>
          <w:rPr>
            <w:sz w:val="24"/>
            <w:color w:val="0000ff"/>
          </w:rPr>
          <w:t xml:space="preserve">ГОСТ 30372</w:t>
        </w:r>
      </w:hyperlink>
      <w:r>
        <w:rPr>
          <w:sz w:val="24"/>
        </w:rPr>
        <w:t xml:space="preserve">.</w:t>
      </w:r>
    </w:p>
    <w:p>
      <w:pPr>
        <w:pStyle w:val="0"/>
        <w:spacing w:before="240" w:lineRule="auto"/>
        <w:ind w:firstLine="540"/>
        <w:jc w:val="both"/>
      </w:pPr>
      <w:r>
        <w:rPr>
          <w:sz w:val="24"/>
        </w:rPr>
        <w:t xml:space="preserve">А.1.2 ТД на ОП должна содержать сведения по устойчивости ОП к воздействию помех и о классе условий эксплуатации. При испытаниях ОП на помехоустойчивость применяют критерии качества функционирования, указанные в таблице А.1.</w:t>
      </w:r>
    </w:p>
    <w:p>
      <w:pPr>
        <w:pStyle w:val="0"/>
        <w:ind w:firstLine="540"/>
        <w:jc w:val="both"/>
      </w:pPr>
      <w:r>
        <w:rPr>
          <w:sz w:val="24"/>
        </w:rPr>
      </w:r>
    </w:p>
    <w:p>
      <w:pPr>
        <w:pStyle w:val="0"/>
        <w:jc w:val="right"/>
      </w:pPr>
      <w:r>
        <w:rPr>
          <w:sz w:val="24"/>
        </w:rPr>
        <w:t xml:space="preserve">Таблица А.1</w:t>
      </w:r>
    </w:p>
    <w:p>
      <w:pPr>
        <w:pStyle w:val="0"/>
        <w:ind w:firstLine="540"/>
        <w:jc w:val="both"/>
      </w:pPr>
      <w:r>
        <w:rPr>
          <w:sz w:val="24"/>
        </w:rPr>
      </w:r>
    </w:p>
    <w:p>
      <w:pPr>
        <w:pStyle w:val="0"/>
        <w:jc w:val="center"/>
      </w:pPr>
      <w:r>
        <w:rPr>
          <w:sz w:val="24"/>
        </w:rPr>
        <w:t xml:space="preserve">Критерии качества функционирования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3854"/>
        <w:gridCol w:w="3854"/>
      </w:tblGrid>
      <w:tr>
        <w:tc>
          <w:tcPr>
            <w:tcW w:w="1361" w:type="dxa"/>
            <w:vAlign w:val="center"/>
          </w:tcPr>
          <w:p>
            <w:pPr>
              <w:pStyle w:val="0"/>
              <w:jc w:val="center"/>
            </w:pPr>
            <w:r>
              <w:rPr>
                <w:sz w:val="24"/>
              </w:rPr>
              <w:t xml:space="preserve">Критерии качества функционирования</w:t>
            </w:r>
          </w:p>
        </w:tc>
        <w:tc>
          <w:tcPr>
            <w:tcW w:w="3854" w:type="dxa"/>
            <w:vAlign w:val="center"/>
          </w:tcPr>
          <w:p>
            <w:pPr>
              <w:pStyle w:val="0"/>
              <w:jc w:val="center"/>
            </w:pPr>
            <w:r>
              <w:rPr>
                <w:sz w:val="24"/>
              </w:rPr>
              <w:t xml:space="preserve">Качество функционирования при испытаниях</w:t>
            </w:r>
          </w:p>
        </w:tc>
        <w:tc>
          <w:tcPr>
            <w:tcW w:w="3854" w:type="dxa"/>
            <w:vAlign w:val="center"/>
          </w:tcPr>
          <w:p>
            <w:pPr>
              <w:pStyle w:val="0"/>
              <w:jc w:val="center"/>
            </w:pPr>
            <w:r>
              <w:rPr>
                <w:sz w:val="24"/>
              </w:rPr>
              <w:t xml:space="preserve">Примечание</w:t>
            </w:r>
          </w:p>
        </w:tc>
      </w:tr>
      <w:tr>
        <w:tc>
          <w:tcPr>
            <w:tcW w:w="1361" w:type="dxa"/>
          </w:tcPr>
          <w:p>
            <w:pPr>
              <w:pStyle w:val="0"/>
              <w:jc w:val="center"/>
            </w:pPr>
            <w:r>
              <w:rPr>
                <w:sz w:val="24"/>
              </w:rPr>
              <w:t xml:space="preserve">A</w:t>
            </w:r>
          </w:p>
        </w:tc>
        <w:tc>
          <w:tcPr>
            <w:tcW w:w="3854" w:type="dxa"/>
          </w:tcPr>
          <w:p>
            <w:pPr>
              <w:pStyle w:val="0"/>
            </w:pPr>
            <w:r>
              <w:rPr>
                <w:sz w:val="24"/>
              </w:rPr>
              <w:t xml:space="preserve">Нормальное функционирование с параметрами в соответствии с ТД</w:t>
            </w:r>
          </w:p>
        </w:tc>
        <w:tc>
          <w:tcPr>
            <w:tcW w:w="3854" w:type="dxa"/>
            <w:vAlign w:val="center"/>
          </w:tcPr>
          <w:p>
            <w:pPr>
              <w:pStyle w:val="0"/>
              <w:jc w:val="center"/>
            </w:pPr>
            <w:r>
              <w:rPr>
                <w:sz w:val="24"/>
              </w:rPr>
              <w:t xml:space="preserve">-</w:t>
            </w:r>
          </w:p>
        </w:tc>
      </w:tr>
      <w:tr>
        <w:tc>
          <w:tcPr>
            <w:tcW w:w="1361" w:type="dxa"/>
          </w:tcPr>
          <w:p>
            <w:pPr>
              <w:pStyle w:val="0"/>
              <w:jc w:val="center"/>
            </w:pPr>
            <w:r>
              <w:rPr>
                <w:sz w:val="24"/>
              </w:rPr>
              <w:t xml:space="preserve">B</w:t>
            </w:r>
          </w:p>
        </w:tc>
        <w:tc>
          <w:tcPr>
            <w:tcW w:w="3854" w:type="dxa"/>
          </w:tcPr>
          <w:p>
            <w:pPr>
              <w:pStyle w:val="0"/>
            </w:pPr>
            <w:r>
              <w:rPr>
                <w:sz w:val="24"/>
              </w:rPr>
              <w:t xml:space="preserve">Кратковременное нарушение функционирования или ухудшение параметров с последующим восстановлением нормального функционирования без вмешательства оператора</w:t>
            </w:r>
          </w:p>
        </w:tc>
        <w:tc>
          <w:tcPr>
            <w:tcW w:w="3854" w:type="dxa"/>
          </w:tcPr>
          <w:p>
            <w:pPr>
              <w:pStyle w:val="0"/>
            </w:pPr>
            <w:r>
              <w:rPr>
                <w:sz w:val="24"/>
              </w:rPr>
              <w:t xml:space="preserve">Виды возможных нарушений функционирования, которые рассматриваются как незначительные и допустимые, должны быть указаны в ТД. При этом возможные нарушения функционирования не должны оказывать влияния на приборы и оборудование, связанные с испытуемым ОП. Восстановление нормального функционирования должно быть обеспечено без вмешательства оператора</w:t>
            </w:r>
          </w:p>
        </w:tc>
      </w:tr>
      <w:tr>
        <w:tc>
          <w:tcPr>
            <w:tcW w:w="1361" w:type="dxa"/>
          </w:tcPr>
          <w:p>
            <w:pPr>
              <w:pStyle w:val="0"/>
              <w:jc w:val="center"/>
            </w:pPr>
            <w:r>
              <w:rPr>
                <w:sz w:val="24"/>
              </w:rPr>
              <w:t xml:space="preserve">C</w:t>
            </w:r>
          </w:p>
        </w:tc>
        <w:tc>
          <w:tcPr>
            <w:tcW w:w="3854" w:type="dxa"/>
          </w:tcPr>
          <w:p>
            <w:pPr>
              <w:pStyle w:val="0"/>
            </w:pPr>
            <w:r>
              <w:rPr>
                <w:sz w:val="24"/>
              </w:rPr>
              <w:t xml:space="preserve">Нарушение функционирования или ухудшение параметров, требующее для восстановления нормального функционирования вмешательства оператора</w:t>
            </w:r>
          </w:p>
        </w:tc>
        <w:tc>
          <w:tcPr>
            <w:tcW w:w="3854" w:type="dxa"/>
          </w:tcPr>
          <w:p>
            <w:pPr>
              <w:pStyle w:val="0"/>
            </w:pPr>
            <w:r>
              <w:rPr>
                <w:sz w:val="24"/>
              </w:rPr>
              <w:t xml:space="preserve">Является отрицательным результатом</w:t>
            </w:r>
          </w:p>
        </w:tc>
      </w:tr>
      <w:tr>
        <w:tc>
          <w:tcPr>
            <w:tcW w:w="1361" w:type="dxa"/>
          </w:tcPr>
          <w:p>
            <w:pPr>
              <w:pStyle w:val="0"/>
              <w:jc w:val="center"/>
            </w:pPr>
            <w:r>
              <w:rPr>
                <w:sz w:val="24"/>
              </w:rPr>
              <w:t xml:space="preserve">D</w:t>
            </w:r>
          </w:p>
        </w:tc>
        <w:tc>
          <w:tcPr>
            <w:tcW w:w="3854" w:type="dxa"/>
          </w:tcPr>
          <w:p>
            <w:pPr>
              <w:pStyle w:val="0"/>
            </w:pPr>
            <w:r>
              <w:rPr>
                <w:sz w:val="24"/>
              </w:rPr>
              <w:t xml:space="preserve">Нарушение функционирования или ухудшение параметров, требующее ремонта из-за выхода из строя ОП</w:t>
            </w:r>
          </w:p>
        </w:tc>
        <w:tc>
          <w:tcPr>
            <w:tcW w:w="3854" w:type="dxa"/>
          </w:tcPr>
          <w:p>
            <w:pPr>
              <w:pStyle w:val="0"/>
            </w:pPr>
            <w:r>
              <w:rPr>
                <w:sz w:val="24"/>
              </w:rPr>
              <w:t xml:space="preserve">Является отрицательным результатом</w:t>
            </w:r>
          </w:p>
        </w:tc>
      </w:tr>
    </w:tbl>
    <w:p>
      <w:pPr>
        <w:pStyle w:val="0"/>
        <w:ind w:firstLine="540"/>
        <w:jc w:val="both"/>
      </w:pPr>
      <w:r>
        <w:rPr>
          <w:sz w:val="24"/>
        </w:rPr>
      </w:r>
    </w:p>
    <w:p>
      <w:pPr>
        <w:pStyle w:val="0"/>
        <w:ind w:firstLine="540"/>
        <w:jc w:val="both"/>
      </w:pPr>
      <w:r>
        <w:rPr>
          <w:sz w:val="24"/>
        </w:rPr>
        <w:t xml:space="preserve">А.1.3 В ТД на ОП должно быть внесено предупреждение пользователю о том, что качество функционирования ОП не гарантируется, если электромагнитная обстановка в месте установки ОП не соответствует условиям эксплуатации, указанным в ТД на ОП. В ТД на ОП могут быть внесены рекомендации пользователю по защите ОП, для того чтобы уровни помех не превышали установленных уровней помехоустойчивости.</w:t>
      </w:r>
    </w:p>
    <w:p>
      <w:pPr>
        <w:pStyle w:val="0"/>
        <w:spacing w:before="240" w:lineRule="auto"/>
        <w:ind w:firstLine="540"/>
        <w:jc w:val="both"/>
      </w:pPr>
      <w:r>
        <w:rPr>
          <w:sz w:val="24"/>
        </w:rPr>
        <w:t xml:space="preserve">А.1.4 Испытания ОП проводят на одном образце. По решению испытательной лаборатории число образцов может быть увеличено.</w:t>
      </w:r>
    </w:p>
    <w:p>
      <w:pPr>
        <w:pStyle w:val="0"/>
        <w:spacing w:before="240" w:lineRule="auto"/>
        <w:ind w:firstLine="540"/>
        <w:jc w:val="both"/>
      </w:pPr>
      <w:r>
        <w:rPr>
          <w:sz w:val="24"/>
        </w:rPr>
        <w:t xml:space="preserve">А.1.5 Степень жесткости воздействий должна соответствовать требованиям ТД на ОП конкретных типов с учетом требований </w:t>
      </w:r>
      <w:hyperlink w:history="0" w:anchor="P264" w:tooltip="5.3.1 ОП должны сохранять работоспособность при и после воздействия электромагнитных помех, параметры которых должны соответствовать требованиям, указанным в приложении А. ОП должны быть устойчивы к воздействию электромагнитных помех со степенью жесткости не ниже 2.">
        <w:r>
          <w:rPr>
            <w:sz w:val="24"/>
            <w:color w:val="0000ff"/>
          </w:rPr>
          <w:t xml:space="preserve">5.3.1</w:t>
        </w:r>
      </w:hyperlink>
      <w:r>
        <w:rPr>
          <w:sz w:val="24"/>
        </w:rPr>
        <w:t xml:space="preserve">.</w:t>
      </w:r>
    </w:p>
    <w:p>
      <w:pPr>
        <w:pStyle w:val="0"/>
        <w:ind w:firstLine="540"/>
        <w:jc w:val="both"/>
      </w:pPr>
      <w:r>
        <w:rPr>
          <w:sz w:val="24"/>
        </w:rPr>
      </w:r>
    </w:p>
    <w:p>
      <w:pPr>
        <w:pStyle w:val="0"/>
        <w:ind w:firstLine="540"/>
        <w:jc w:val="both"/>
      </w:pPr>
      <w:r>
        <w:rPr>
          <w:sz w:val="24"/>
          <w:b w:val="on"/>
        </w:rPr>
        <w:t xml:space="preserve">А.2 Технические требования</w:t>
      </w:r>
    </w:p>
    <w:p>
      <w:pPr>
        <w:pStyle w:val="0"/>
        <w:ind w:firstLine="540"/>
        <w:jc w:val="both"/>
      </w:pPr>
      <w:r>
        <w:rPr>
          <w:sz w:val="24"/>
        </w:rPr>
      </w:r>
    </w:p>
    <w:p>
      <w:pPr>
        <w:pStyle w:val="0"/>
        <w:ind w:firstLine="540"/>
        <w:jc w:val="both"/>
      </w:pPr>
      <w:r>
        <w:rPr>
          <w:sz w:val="24"/>
        </w:rPr>
        <w:t xml:space="preserve">А.2.1 ОП, подключаемые к распределительным электрическим сетям переменного тока, должны быть устойчивы к воздействию микросекундных импульсных помех большой энергии (МИП) по </w:t>
      </w:r>
      <w:hyperlink w:history="0" r:id="rId54" w:tooltip="&quot;ГОСТ IEC 61000-4-5-2017. Межгосударственный стандарт. Электромагнитная совместимость (ЭМС). Часть 4-5. Методы испытаний и измерений. Испытание на устойчивость к выбросу напряжения&quot; (введен в действие Приказом Росстандарта от 14.12.2017 N 1979-ст) {КонсультантПлюс}">
        <w:r>
          <w:rPr>
            <w:sz w:val="24"/>
            <w:color w:val="0000ff"/>
          </w:rPr>
          <w:t xml:space="preserve">ГОСТ IEC 61000-4-5</w:t>
        </w:r>
      </w:hyperlink>
      <w:r>
        <w:rPr>
          <w:sz w:val="24"/>
        </w:rPr>
        <w:t xml:space="preserve">.</w:t>
      </w:r>
    </w:p>
    <w:p>
      <w:pPr>
        <w:pStyle w:val="0"/>
        <w:spacing w:before="240" w:lineRule="auto"/>
        <w:ind w:firstLine="540"/>
        <w:jc w:val="both"/>
      </w:pPr>
      <w:r>
        <w:rPr>
          <w:sz w:val="24"/>
        </w:rPr>
        <w:t xml:space="preserve">А.2.2 ОП должны быть устойчивы к наносекундным импульсным помехам (НИП) по </w:t>
      </w:r>
      <w:hyperlink w:history="0" r:id="rId55" w:tooltip="&quot;ГОСТ 30804.4.4-2013 (IEC 61000-4-4:2004)/[ГОСТ Р 51317.4.4-2007 (МЭК 61000-4-4:2004)]. Межгосударственный стандарт. Совместимость технических средств электромагнитная. Устойчивость к наносекундным импульсным помехам. Требования и методы испытаний&quot; (введен в действие Приказом Росстандарта от 22.07.2013 N 403-ст) {КонсультантПлюс}">
        <w:r>
          <w:rPr>
            <w:sz w:val="24"/>
            <w:color w:val="0000ff"/>
          </w:rPr>
          <w:t xml:space="preserve">ГОСТ 30804.4.4</w:t>
        </w:r>
      </w:hyperlink>
      <w:r>
        <w:rPr>
          <w:sz w:val="24"/>
        </w:rPr>
        <w:t xml:space="preserve">.</w:t>
      </w:r>
    </w:p>
    <w:p>
      <w:pPr>
        <w:pStyle w:val="0"/>
        <w:spacing w:before="240" w:lineRule="auto"/>
        <w:ind w:firstLine="540"/>
        <w:jc w:val="both"/>
      </w:pPr>
      <w:r>
        <w:rPr>
          <w:sz w:val="24"/>
        </w:rPr>
        <w:t xml:space="preserve">А.2.3 ОП, подключаемые к распределительным электрическим сетям переменного тока, должны быть устойчивы к нелинейным искажениям в сети переменного тока в диапазоне частот 100 - 5000 Гц. Зависимость амплитуды искажающего сигнала от степени жесткости воздействия приведена в таблице А.2.</w:t>
      </w:r>
    </w:p>
    <w:p>
      <w:pPr>
        <w:pStyle w:val="0"/>
        <w:ind w:firstLine="540"/>
        <w:jc w:val="both"/>
      </w:pPr>
      <w:r>
        <w:rPr>
          <w:sz w:val="24"/>
        </w:rPr>
      </w:r>
    </w:p>
    <w:p>
      <w:pPr>
        <w:pStyle w:val="0"/>
        <w:jc w:val="right"/>
      </w:pPr>
      <w:r>
        <w:rPr>
          <w:sz w:val="24"/>
        </w:rPr>
        <w:t xml:space="preserve">Таблица А.2</w:t>
      </w:r>
    </w:p>
    <w:p>
      <w:pPr>
        <w:pStyle w:val="0"/>
        <w:ind w:firstLine="540"/>
        <w:jc w:val="both"/>
      </w:pPr>
      <w:r>
        <w:rPr>
          <w:sz w:val="24"/>
        </w:rPr>
      </w:r>
    </w:p>
    <w:bookmarkStart w:id="830" w:name="P830"/>
    <w:bookmarkEnd w:id="830"/>
    <w:p>
      <w:pPr>
        <w:pStyle w:val="0"/>
        <w:jc w:val="center"/>
      </w:pPr>
      <w:r>
        <w:rPr>
          <w:sz w:val="24"/>
        </w:rPr>
        <w:t xml:space="preserve">Амплитуда искажающего сигнала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5101"/>
      </w:tblGrid>
      <w:tr>
        <w:tc>
          <w:tcPr>
            <w:gridSpan w:val="2"/>
            <w:tcW w:w="9070" w:type="dxa"/>
            <w:vAlign w:val="center"/>
          </w:tcPr>
          <w:p>
            <w:pPr>
              <w:pStyle w:val="0"/>
              <w:jc w:val="center"/>
            </w:pPr>
            <w:r>
              <w:rPr>
                <w:sz w:val="24"/>
              </w:rPr>
              <w:t xml:space="preserve">Нелинейные искажения в сети переменного тока</w:t>
            </w:r>
          </w:p>
        </w:tc>
      </w:tr>
      <w:tr>
        <w:tc>
          <w:tcPr>
            <w:tcW w:w="3969" w:type="dxa"/>
            <w:vAlign w:val="center"/>
          </w:tcPr>
          <w:p>
            <w:pPr>
              <w:pStyle w:val="0"/>
              <w:jc w:val="center"/>
            </w:pPr>
            <w:r>
              <w:rPr>
                <w:sz w:val="24"/>
              </w:rPr>
              <w:t xml:space="preserve">Степень жесткости</w:t>
            </w:r>
          </w:p>
        </w:tc>
        <w:tc>
          <w:tcPr>
            <w:tcW w:w="5101" w:type="dxa"/>
            <w:vAlign w:val="center"/>
          </w:tcPr>
          <w:p>
            <w:pPr>
              <w:pStyle w:val="0"/>
              <w:jc w:val="center"/>
            </w:pPr>
            <w:r>
              <w:rPr>
                <w:sz w:val="24"/>
              </w:rPr>
              <w:t xml:space="preserve">Амплитуда искажающего сигнала, В</w:t>
            </w:r>
          </w:p>
        </w:tc>
      </w:tr>
      <w:tr>
        <w:tc>
          <w:tcPr>
            <w:tcW w:w="3969" w:type="dxa"/>
          </w:tcPr>
          <w:p>
            <w:pPr>
              <w:pStyle w:val="0"/>
              <w:jc w:val="center"/>
            </w:pPr>
            <w:r>
              <w:rPr>
                <w:sz w:val="24"/>
              </w:rPr>
              <w:t xml:space="preserve">2</w:t>
            </w:r>
          </w:p>
        </w:tc>
        <w:tc>
          <w:tcPr>
            <w:tcW w:w="5101" w:type="dxa"/>
          </w:tcPr>
          <w:p>
            <w:pPr>
              <w:pStyle w:val="0"/>
              <w:jc w:val="center"/>
            </w:pPr>
            <w:r>
              <w:rPr>
                <w:sz w:val="24"/>
              </w:rPr>
              <w:t xml:space="preserve">10</w:t>
            </w:r>
          </w:p>
        </w:tc>
      </w:tr>
      <w:tr>
        <w:tc>
          <w:tcPr>
            <w:tcW w:w="3969" w:type="dxa"/>
          </w:tcPr>
          <w:p>
            <w:pPr>
              <w:pStyle w:val="0"/>
              <w:jc w:val="center"/>
            </w:pPr>
            <w:r>
              <w:rPr>
                <w:sz w:val="24"/>
              </w:rPr>
              <w:t xml:space="preserve">3</w:t>
            </w:r>
          </w:p>
        </w:tc>
        <w:tc>
          <w:tcPr>
            <w:tcW w:w="5101" w:type="dxa"/>
          </w:tcPr>
          <w:p>
            <w:pPr>
              <w:pStyle w:val="0"/>
              <w:jc w:val="center"/>
            </w:pPr>
            <w:r>
              <w:rPr>
                <w:sz w:val="24"/>
              </w:rPr>
              <w:t xml:space="preserve">20</w:t>
            </w:r>
          </w:p>
        </w:tc>
      </w:tr>
      <w:tr>
        <w:tc>
          <w:tcPr>
            <w:tcW w:w="3969" w:type="dxa"/>
          </w:tcPr>
          <w:p>
            <w:pPr>
              <w:pStyle w:val="0"/>
              <w:jc w:val="center"/>
            </w:pPr>
            <w:r>
              <w:rPr>
                <w:sz w:val="24"/>
              </w:rPr>
              <w:t xml:space="preserve">4</w:t>
            </w:r>
          </w:p>
        </w:tc>
        <w:tc>
          <w:tcPr>
            <w:tcW w:w="5101" w:type="dxa"/>
          </w:tcPr>
          <w:p>
            <w:pPr>
              <w:pStyle w:val="0"/>
              <w:jc w:val="center"/>
            </w:pPr>
            <w:r>
              <w:rPr>
                <w:sz w:val="24"/>
              </w:rPr>
              <w:t xml:space="preserve">35</w:t>
            </w:r>
          </w:p>
        </w:tc>
      </w:tr>
    </w:tbl>
    <w:p>
      <w:pPr>
        <w:pStyle w:val="0"/>
        <w:ind w:firstLine="540"/>
        <w:jc w:val="both"/>
      </w:pPr>
      <w:r>
        <w:rPr>
          <w:sz w:val="24"/>
        </w:rPr>
      </w:r>
    </w:p>
    <w:p>
      <w:pPr>
        <w:pStyle w:val="0"/>
        <w:ind w:firstLine="540"/>
        <w:jc w:val="both"/>
      </w:pPr>
      <w:r>
        <w:rPr>
          <w:sz w:val="24"/>
        </w:rPr>
        <w:t xml:space="preserve">А.2.4 ОП, подключаемые к распределительным электрическим сетям переменного тока, должны быть устойчивы к воздействию динамических изменений напряжения электропитания в соответствии с </w:t>
      </w:r>
      <w:hyperlink w:history="0" r:id="rId56" w:tooltip="&quot;ГОСТ 30804.4.11-2013 (IEC 61000-4-11:2004)/[ГОСТ Р 51317.4.11-2007 (МЭК 61000-4-11:2004)]. Межгосударственный стандарт. Совместимость технических средств электромагнитная. Устойчивость к провалам, кратковременным прерываниям и изменениям напряжения электропитания. Требования и методы испытаний&quot; (введен в действие Приказом Росстандарта от 22.07.2013 N 404-ст) {КонсультантПлюс}">
        <w:r>
          <w:rPr>
            <w:sz w:val="24"/>
            <w:color w:val="0000ff"/>
          </w:rPr>
          <w:t xml:space="preserve">ГОСТ 30804.4.11</w:t>
        </w:r>
      </w:hyperlink>
      <w:r>
        <w:rPr>
          <w:sz w:val="24"/>
        </w:rPr>
        <w:t xml:space="preserve">.</w:t>
      </w:r>
    </w:p>
    <w:p>
      <w:pPr>
        <w:pStyle w:val="0"/>
        <w:spacing w:before="240" w:lineRule="auto"/>
        <w:ind w:firstLine="540"/>
        <w:jc w:val="both"/>
      </w:pPr>
      <w:r>
        <w:rPr>
          <w:sz w:val="24"/>
        </w:rPr>
        <w:t xml:space="preserve">А.2.5 ОП должны быть устойчивы к электростатическим разрядам. Испытательные напряжения контактного и воздушного электростатических разрядов должны соответствовать </w:t>
      </w:r>
      <w:hyperlink w:history="0" r:id="rId57" w:tooltip="&quot;ГОСТ 30804.4.2-2013 (IEC 61000-4-2:2008). Межгосударственный стандарт. Совместимость технических средств электромагнитная. Устойчивость к электростатическим разрядам. Требования и методы испытаний&quot; (введен в действие Приказом Росстандарта от 22.07.2013 N 398-ст) {КонсультантПлюс}">
        <w:r>
          <w:rPr>
            <w:sz w:val="24"/>
            <w:color w:val="0000ff"/>
          </w:rPr>
          <w:t xml:space="preserve">ГОСТ 30804.4.2</w:t>
        </w:r>
      </w:hyperlink>
      <w:r>
        <w:rPr>
          <w:sz w:val="24"/>
        </w:rPr>
        <w:t xml:space="preserve">.</w:t>
      </w:r>
    </w:p>
    <w:p>
      <w:pPr>
        <w:pStyle w:val="0"/>
        <w:spacing w:before="240" w:lineRule="auto"/>
        <w:ind w:firstLine="540"/>
        <w:jc w:val="both"/>
      </w:pPr>
      <w:r>
        <w:rPr>
          <w:sz w:val="24"/>
        </w:rPr>
        <w:t xml:space="preserve">А.2.6 ОП должны быть устойчивы к радиочастотному электромагнитному полю (РЭП) в диапазоне от 80 до 1000 МГц в соответствии с </w:t>
      </w:r>
      <w:hyperlink w:history="0" r:id="rId58" w:tooltip="&quot;ГОСТ 30804.4.3-2013 (IEC 61000-4-3:2006)/[ГОСТ Р 51317.4.3-2006 (МЭК 61000-4-3:2006)]. Межгосударственный стандарт. Совместимость технических средств электромагнитная. Устойчивость к радиочастотному электромагнитному полю. Требования и методы испытаний&quot; (введен в действие Приказом Росстандарта от 22.07.2013 N 402-ст) {КонсультантПлюс}">
        <w:r>
          <w:rPr>
            <w:sz w:val="24"/>
            <w:color w:val="0000ff"/>
          </w:rPr>
          <w:t xml:space="preserve">ГОСТ 30804.4.3</w:t>
        </w:r>
      </w:hyperlink>
      <w:r>
        <w:rPr>
          <w:sz w:val="24"/>
        </w:rPr>
        <w:t xml:space="preserve">.</w:t>
      </w:r>
    </w:p>
    <w:p>
      <w:pPr>
        <w:pStyle w:val="0"/>
        <w:spacing w:before="240" w:lineRule="auto"/>
        <w:ind w:firstLine="540"/>
        <w:jc w:val="both"/>
      </w:pPr>
      <w:r>
        <w:rPr>
          <w:sz w:val="24"/>
        </w:rPr>
        <w:t xml:space="preserve">А.2.7 Индустриальные радиопомехи от ОП должны соответствовать нормам индустриальных радиопомех от оборудования информационных технологий класса Б по ГОСТ 30805.22-2013 (</w:t>
      </w:r>
      <w:hyperlink w:history="0" r:id="rId59" w:tooltip="&quot;ГОСТ 30805.22-2013 (CISPR 22:2006). Межгосударственный стандарт. Совместимость технических средств электромагнитная. Оборудование информационных технологий. Радиопомехи индустриальные. Нормы и методы измерений&quot; (введен в действие Приказом Росстандарта от 22.07.2013 N 415-ст) {КонсультантПлюс}">
        <w:r>
          <w:rPr>
            <w:sz w:val="24"/>
            <w:color w:val="0000ff"/>
          </w:rPr>
          <w:t xml:space="preserve">подразделы 5.1</w:t>
        </w:r>
      </w:hyperlink>
      <w:r>
        <w:rPr>
          <w:sz w:val="24"/>
        </w:rPr>
        <w:t xml:space="preserve">, </w:t>
      </w:r>
      <w:hyperlink w:history="0" r:id="rId60" w:tooltip="&quot;ГОСТ 30805.22-2013 (CISPR 22:2006). Межгосударственный стандарт. Совместимость технических средств электромагнитная. Оборудование информационных технологий. Радиопомехи индустриальные. Нормы и методы измерений&quot; (введен в действие Приказом Росстандарта от 22.07.2013 N 415-ст) {КонсультантПлюс}">
        <w:r>
          <w:rPr>
            <w:sz w:val="24"/>
            <w:color w:val="0000ff"/>
          </w:rPr>
          <w:t xml:space="preserve">6.1</w:t>
        </w:r>
      </w:hyperlink>
      <w:r>
        <w:rPr>
          <w:sz w:val="24"/>
        </w:rPr>
        <w:t xml:space="preserve">).</w:t>
      </w:r>
    </w:p>
    <w:p>
      <w:pPr>
        <w:pStyle w:val="0"/>
        <w:spacing w:before="240" w:lineRule="auto"/>
        <w:ind w:firstLine="540"/>
        <w:jc w:val="both"/>
      </w:pPr>
      <w:r>
        <w:rPr>
          <w:sz w:val="24"/>
        </w:rPr>
        <w:t xml:space="preserve">Индустриальные радиопомехи от ОП могут соответствовать нормам индустриальных радиопомех от оборудования информационных технологий класса А по </w:t>
      </w:r>
      <w:hyperlink w:history="0" r:id="rId61" w:tooltip="&quot;ГОСТ 30805.22-2013 (CISPR 22:2006). Межгосударственный стандарт. Совместимость технических средств электромагнитная. Оборудование информационных технологий. Радиопомехи индустриальные. Нормы и методы измерений&quot; (введен в действие Приказом Росстандарта от 22.07.2013 N 415-ст) {КонсультантПлюс}">
        <w:r>
          <w:rPr>
            <w:sz w:val="24"/>
            <w:color w:val="0000ff"/>
          </w:rPr>
          <w:t xml:space="preserve">ГОСТ 30805.22</w:t>
        </w:r>
      </w:hyperlink>
      <w:r>
        <w:rPr>
          <w:sz w:val="24"/>
        </w:rPr>
        <w:t xml:space="preserve"> при приведении в эксплуатационной документации предупреждающей надписи: "Внимание! Настоящее изделие относится к оборудованию класса А. При использовании в бытовой обстановке это оборудование может нарушать функционирование других технических средств в результате создаваемых индустриальных радиопомех. В этом случае от пользователя может потребоваться принятие адекватных мер".</w:t>
      </w:r>
    </w:p>
    <w:p>
      <w:pPr>
        <w:pStyle w:val="0"/>
        <w:ind w:firstLine="540"/>
        <w:jc w:val="both"/>
      </w:pPr>
      <w:r>
        <w:rPr>
          <w:sz w:val="24"/>
        </w:rPr>
      </w:r>
    </w:p>
    <w:p>
      <w:pPr>
        <w:pStyle w:val="0"/>
        <w:ind w:firstLine="540"/>
        <w:jc w:val="both"/>
      </w:pPr>
      <w:r>
        <w:rPr>
          <w:sz w:val="24"/>
          <w:b w:val="on"/>
        </w:rPr>
        <w:t xml:space="preserve">А.3 Методы испытаний</w:t>
      </w:r>
    </w:p>
    <w:p>
      <w:pPr>
        <w:pStyle w:val="0"/>
        <w:ind w:firstLine="540"/>
        <w:jc w:val="both"/>
      </w:pPr>
      <w:r>
        <w:rPr>
          <w:sz w:val="24"/>
        </w:rPr>
      </w:r>
    </w:p>
    <w:p>
      <w:pPr>
        <w:pStyle w:val="0"/>
        <w:ind w:firstLine="540"/>
        <w:jc w:val="both"/>
      </w:pPr>
      <w:r>
        <w:rPr>
          <w:sz w:val="24"/>
        </w:rPr>
        <w:t xml:space="preserve">А.3.1 Испытания следует проводить при нормальных климатических условиях:</w:t>
      </w:r>
    </w:p>
    <w:p>
      <w:pPr>
        <w:pStyle w:val="0"/>
        <w:spacing w:before="240" w:lineRule="auto"/>
        <w:ind w:firstLine="540"/>
        <w:jc w:val="both"/>
      </w:pPr>
      <w:r>
        <w:rPr>
          <w:sz w:val="24"/>
        </w:rPr>
        <w:t xml:space="preserve">- температуре окружающего воздуха от 15 °C до 35 °C;</w:t>
      </w:r>
    </w:p>
    <w:p>
      <w:pPr>
        <w:pStyle w:val="0"/>
        <w:spacing w:before="240" w:lineRule="auto"/>
        <w:ind w:firstLine="540"/>
        <w:jc w:val="both"/>
      </w:pPr>
      <w:r>
        <w:rPr>
          <w:sz w:val="24"/>
        </w:rPr>
        <w:t xml:space="preserve">- относительной влажности воздуха от 45% до 75%;</w:t>
      </w:r>
    </w:p>
    <w:p>
      <w:pPr>
        <w:pStyle w:val="0"/>
        <w:spacing w:before="240" w:lineRule="auto"/>
        <w:ind w:firstLine="540"/>
        <w:jc w:val="both"/>
      </w:pPr>
      <w:r>
        <w:rPr>
          <w:sz w:val="24"/>
        </w:rPr>
        <w:t xml:space="preserve">- атмосферном давлении от 86 до 106 кПа.</w:t>
      </w:r>
    </w:p>
    <w:p>
      <w:pPr>
        <w:pStyle w:val="0"/>
        <w:spacing w:before="240" w:lineRule="auto"/>
        <w:ind w:firstLine="540"/>
        <w:jc w:val="both"/>
      </w:pPr>
      <w:r>
        <w:rPr>
          <w:sz w:val="24"/>
        </w:rPr>
        <w:t xml:space="preserve">А.3.2 При проведении испытаний уровень помех в помещении не должен оказывать влияние на результаты испытаний.</w:t>
      </w:r>
    </w:p>
    <w:p>
      <w:pPr>
        <w:pStyle w:val="0"/>
        <w:spacing w:before="240" w:lineRule="auto"/>
        <w:ind w:firstLine="540"/>
        <w:jc w:val="both"/>
      </w:pPr>
      <w:r>
        <w:rPr>
          <w:sz w:val="24"/>
        </w:rPr>
        <w:t xml:space="preserve">А.3.3 При проведении испытаний ОП должны функционировать в режимах, установленных в ТД. Выбирается режим функционирования с наибольшей восприимчивостью к воздействию помех. ОП должны быть установлены и подключены к цепям электропитания, ввода-вывода и заземления в соответствии с положениями ТД. При отсутствии источников сигналов, необходимых для работы ОП, они могут быть заменены имитаторами. После проведения испытаний на помехоустойчивость проводят проверки выполнения основной функции или измерения основных параметров в соответствии с требованиями настоящего стандарта.</w:t>
      </w:r>
    </w:p>
    <w:p>
      <w:pPr>
        <w:pStyle w:val="0"/>
        <w:spacing w:before="240" w:lineRule="auto"/>
        <w:ind w:firstLine="540"/>
        <w:jc w:val="both"/>
      </w:pPr>
      <w:r>
        <w:rPr>
          <w:sz w:val="24"/>
        </w:rPr>
        <w:t xml:space="preserve">А.3.4 Испытания на устойчивость к воздействию МИП проводят по </w:t>
      </w:r>
      <w:hyperlink w:history="0" r:id="rId62" w:tooltip="&quot;ГОСТ IEC 61000-4-5-2017. Межгосударственный стандарт. Электромагнитная совместимость (ЭМС). Часть 4-5. Методы испытаний и измерений. Испытание на устойчивость к выбросу напряжения&quot; (введен в действие Приказом Росстандарта от 14.12.2017 N 1979-ст) {КонсультантПлюс}">
        <w:r>
          <w:rPr>
            <w:sz w:val="24"/>
            <w:color w:val="0000ff"/>
          </w:rPr>
          <w:t xml:space="preserve">ГОСТ IEC 61000-4-5</w:t>
        </w:r>
      </w:hyperlink>
      <w:r>
        <w:rPr>
          <w:sz w:val="24"/>
        </w:rPr>
        <w:t xml:space="preserve">. Число импульсов обеих полярностей для портов электропитания переменного тока - 2. Временной интервал между импульсами не менее 5 с.</w:t>
      </w:r>
    </w:p>
    <w:p>
      <w:pPr>
        <w:pStyle w:val="0"/>
        <w:spacing w:before="240" w:lineRule="auto"/>
        <w:ind w:firstLine="540"/>
        <w:jc w:val="both"/>
      </w:pPr>
      <w:r>
        <w:rPr>
          <w:sz w:val="24"/>
        </w:rPr>
        <w:t xml:space="preserve">А.3.5 Испытания на устойчивость к НИП проводят по </w:t>
      </w:r>
      <w:hyperlink w:history="0" r:id="rId63" w:tooltip="&quot;ГОСТ 30804.4.4-2013 (IEC 61000-4-4:2004)/[ГОСТ Р 51317.4.4-2007 (МЭК 61000-4-4:2004)]. Межгосударственный стандарт. Совместимость технических средств электромагнитная. Устойчивость к наносекундным импульсным помехам. Требования и методы испытаний&quot; (введен в действие Приказом Росстандарта от 22.07.2013 N 403-ст) {КонсультантПлюс}">
        <w:r>
          <w:rPr>
            <w:sz w:val="24"/>
            <w:color w:val="0000ff"/>
          </w:rPr>
          <w:t xml:space="preserve">ГОСТ 30804.4.4</w:t>
        </w:r>
      </w:hyperlink>
      <w:r>
        <w:rPr>
          <w:sz w:val="24"/>
        </w:rPr>
        <w:t xml:space="preserve"> для испытаний, проводимых в лаборатории.</w:t>
      </w:r>
    </w:p>
    <w:p>
      <w:pPr>
        <w:pStyle w:val="0"/>
        <w:spacing w:before="240" w:lineRule="auto"/>
        <w:ind w:firstLine="540"/>
        <w:jc w:val="both"/>
      </w:pPr>
      <w:r>
        <w:rPr>
          <w:sz w:val="24"/>
        </w:rPr>
        <w:t xml:space="preserve">А.3.6 Испытания на устойчивость ОП к нелинейным искажениям в сети переменного тока проводят следующим образом. К напряжению сети электропитания основной частоты последовательно добавляют синусоидальные напряжения с действующим значением в соответствии с </w:t>
      </w:r>
      <w:hyperlink w:history="0" w:anchor="P830" w:tooltip="Амплитуда искажающего сигнала">
        <w:r>
          <w:rPr>
            <w:sz w:val="24"/>
            <w:color w:val="0000ff"/>
          </w:rPr>
          <w:t xml:space="preserve">таблицей А.2</w:t>
        </w:r>
      </w:hyperlink>
      <w:r>
        <w:rPr>
          <w:sz w:val="24"/>
        </w:rPr>
        <w:t xml:space="preserve"> и частотой, изменяющейся от 100 до 5000 Гц при шаге изменения 100 Гц.</w:t>
      </w:r>
    </w:p>
    <w:p>
      <w:pPr>
        <w:pStyle w:val="0"/>
        <w:spacing w:before="240" w:lineRule="auto"/>
        <w:ind w:firstLine="540"/>
        <w:jc w:val="both"/>
      </w:pPr>
      <w:r>
        <w:rPr>
          <w:sz w:val="24"/>
        </w:rPr>
        <w:t xml:space="preserve">А.3.7 Испытания ОП на устойчивость к воздействию динамических изменений напряжения электропитания проводят по </w:t>
      </w:r>
      <w:hyperlink w:history="0" r:id="rId64" w:tooltip="&quot;ГОСТ 30804.4.11-2013 (IEC 61000-4-11:2004)/[ГОСТ Р 51317.4.11-2007 (МЭК 61000-4-11:2004)]. Межгосударственный стандарт. Совместимость технических средств электромагнитная. Устойчивость к провалам, кратковременным прерываниям и изменениям напряжения электропитания. Требования и методы испытаний&quot; (введен в действие Приказом Росстандарта от 22.07.2013 N 404-ст) {КонсультантПлюс}">
        <w:r>
          <w:rPr>
            <w:sz w:val="24"/>
            <w:color w:val="0000ff"/>
          </w:rPr>
          <w:t xml:space="preserve">ГОСТ 30804.4.11</w:t>
        </w:r>
      </w:hyperlink>
      <w:r>
        <w:rPr>
          <w:sz w:val="24"/>
        </w:rPr>
        <w:t xml:space="preserve">. Для каждого динамического изменения осуществляют не менее трех воздействий с интервалом не менее 10 с.</w:t>
      </w:r>
    </w:p>
    <w:p>
      <w:pPr>
        <w:pStyle w:val="0"/>
        <w:spacing w:before="240" w:lineRule="auto"/>
        <w:ind w:firstLine="540"/>
        <w:jc w:val="both"/>
      </w:pPr>
      <w:r>
        <w:rPr>
          <w:sz w:val="24"/>
        </w:rPr>
        <w:t xml:space="preserve">А.3.8 Испытания ОП на устойчивость к электростатическим разрядам проводят по </w:t>
      </w:r>
      <w:hyperlink w:history="0" r:id="rId65" w:tooltip="&quot;ГОСТ 30804.4.2-2013 (IEC 61000-4-2:2008). Межгосударственный стандарт. Совместимость технических средств электромагнитная. Устойчивость к электростатическим разрядам. Требования и методы испытаний&quot; (введен в действие Приказом Росстандарта от 22.07.2013 N 398-ст) {КонсультантПлюс}">
        <w:r>
          <w:rPr>
            <w:sz w:val="24"/>
            <w:color w:val="0000ff"/>
          </w:rPr>
          <w:t xml:space="preserve">ГОСТ 30804.4.2</w:t>
        </w:r>
      </w:hyperlink>
      <w:r>
        <w:rPr>
          <w:sz w:val="24"/>
        </w:rPr>
        <w:t xml:space="preserve">. На каждую выбранную точку изделия или пластины связи должно быть проведено не менее десяти разрядов положительной и отрицательной полярности. Рекомендуемый временной интервал между разрядами - 1 с.</w:t>
      </w:r>
    </w:p>
    <w:p>
      <w:pPr>
        <w:pStyle w:val="0"/>
        <w:spacing w:before="240" w:lineRule="auto"/>
        <w:ind w:firstLine="540"/>
        <w:jc w:val="both"/>
      </w:pPr>
      <w:r>
        <w:rPr>
          <w:sz w:val="24"/>
        </w:rPr>
        <w:t xml:space="preserve">А.3.9 Испытания ОП на устойчивость к радиочастотному электромагнитному полю проводят по </w:t>
      </w:r>
      <w:hyperlink w:history="0" r:id="rId66" w:tooltip="&quot;ГОСТ 30804.4.3-2013 (IEC 61000-4-3:2006)/[ГОСТ Р 51317.4.3-2006 (МЭК 61000-4-3:2006)]. Межгосударственный стандарт. Совместимость технических средств электромагнитная. Устойчивость к радиочастотному электромагнитному полю. Требования и методы испытаний&quot; (введен в действие Приказом Росстандарта от 22.07.2013 N 402-ст) {КонсультантПлюс}">
        <w:r>
          <w:rPr>
            <w:sz w:val="24"/>
            <w:color w:val="0000ff"/>
          </w:rPr>
          <w:t xml:space="preserve">ГОСТ 30804.4.3</w:t>
        </w:r>
      </w:hyperlink>
      <w:r>
        <w:rPr>
          <w:sz w:val="24"/>
        </w:rPr>
        <w:t xml:space="preserve">.</w:t>
      </w:r>
    </w:p>
    <w:p>
      <w:pPr>
        <w:pStyle w:val="0"/>
        <w:spacing w:before="240" w:lineRule="auto"/>
        <w:ind w:firstLine="540"/>
        <w:jc w:val="both"/>
      </w:pPr>
      <w:r>
        <w:rPr>
          <w:sz w:val="24"/>
        </w:rPr>
        <w:t xml:space="preserve">А.3.10 Измерение индустриальных радиопомех, создаваемых ОП, проводят по </w:t>
      </w:r>
      <w:hyperlink w:history="0" r:id="rId67" w:tooltip="&quot;ГОСТ 30805.22-2013 (CISPR 22:2006). Межгосударственный стандарт. Совместимость технических средств электромагнитная. Оборудование информационных технологий. Радиопомехи индустриальные. Нормы и методы измерений&quot; (введен в действие Приказом Росстандарта от 22.07.2013 N 415-ст) {КонсультантПлюс}">
        <w:r>
          <w:rPr>
            <w:sz w:val="24"/>
            <w:color w:val="0000ff"/>
          </w:rPr>
          <w:t xml:space="preserve">ГОСТ 30805.22</w:t>
        </w:r>
      </w:hyperlink>
      <w:r>
        <w:rPr>
          <w:sz w:val="24"/>
        </w:rPr>
        <w:t xml:space="preserve">. В случае отнесения ОП к оборудованию информационных технологий класса А проверяют наличие предупреждающей надписи.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Б</w:t>
      </w:r>
    </w:p>
    <w:p>
      <w:pPr>
        <w:pStyle w:val="0"/>
        <w:jc w:val="right"/>
      </w:pPr>
      <w:r>
        <w:rPr>
          <w:sz w:val="24"/>
          <w:b w:val="on"/>
        </w:rPr>
        <w:t xml:space="preserve">(рекомендуемое)</w:t>
      </w:r>
    </w:p>
    <w:p>
      <w:pPr>
        <w:pStyle w:val="0"/>
        <w:ind w:firstLine="540"/>
        <w:jc w:val="both"/>
      </w:pPr>
      <w:r>
        <w:rPr>
          <w:sz w:val="24"/>
        </w:rPr>
      </w:r>
    </w:p>
    <w:bookmarkStart w:id="871" w:name="P871"/>
    <w:bookmarkEnd w:id="871"/>
    <w:p>
      <w:pPr>
        <w:pStyle w:val="2"/>
        <w:jc w:val="center"/>
      </w:pPr>
      <w:r>
        <w:rPr>
          <w:sz w:val="24"/>
          <w:b w:val="on"/>
        </w:rPr>
        <w:t xml:space="preserve">ОБОРУДОВАНИЕ ДЛЯ ПРОВЕДЕНИЯ ИСПЫТАНИЙ ОП НА УСТОЙЧИВОСТЬ</w:t>
      </w:r>
    </w:p>
    <w:p>
      <w:pPr>
        <w:pStyle w:val="2"/>
        <w:jc w:val="center"/>
      </w:pPr>
      <w:r>
        <w:rPr>
          <w:sz w:val="24"/>
          <w:b w:val="on"/>
        </w:rPr>
        <w:t xml:space="preserve">К ВОЗДЕЙСТВИЮ ПРЯМОГО МЕХАНИЧЕСКОГО УДАРА</w:t>
      </w:r>
    </w:p>
    <w:p>
      <w:pPr>
        <w:pStyle w:val="0"/>
        <w:ind w:firstLine="540"/>
        <w:jc w:val="both"/>
      </w:pPr>
      <w:r>
        <w:rPr>
          <w:sz w:val="24"/>
        </w:rPr>
      </w:r>
    </w:p>
    <w:p>
      <w:pPr>
        <w:pStyle w:val="0"/>
        <w:ind w:firstLine="540"/>
        <w:jc w:val="both"/>
      </w:pPr>
      <w:r>
        <w:rPr>
          <w:sz w:val="24"/>
        </w:rPr>
        <w:t xml:space="preserve">Испытательное оборудование (см. рисунок Б.1) состоит из качающегося молотка, включающего в себя прямоугольную головку </w:t>
      </w:r>
      <w:r>
        <w:rPr>
          <w:sz w:val="24"/>
          <w:i w:val="on"/>
        </w:rPr>
        <w:t xml:space="preserve">12</w:t>
      </w:r>
      <w:r>
        <w:rPr>
          <w:sz w:val="24"/>
        </w:rPr>
        <w:t xml:space="preserve">, закрепленную на ручке молотка </w:t>
      </w:r>
      <w:r>
        <w:rPr>
          <w:sz w:val="24"/>
          <w:i w:val="on"/>
        </w:rPr>
        <w:t xml:space="preserve">10</w:t>
      </w:r>
      <w:r>
        <w:rPr>
          <w:sz w:val="24"/>
        </w:rPr>
        <w:t xml:space="preserve">, с ударной поверхностью, скошенной под углом 60°. Молоток зафиксирован в стальной втулке </w:t>
      </w:r>
      <w:r>
        <w:rPr>
          <w:sz w:val="24"/>
          <w:i w:val="on"/>
        </w:rPr>
        <w:t xml:space="preserve">3</w:t>
      </w:r>
      <w:r>
        <w:rPr>
          <w:sz w:val="24"/>
        </w:rPr>
        <w:t xml:space="preserve">, которая свободно вращается на подшипниках </w:t>
      </w:r>
      <w:r>
        <w:rPr>
          <w:sz w:val="24"/>
          <w:i w:val="on"/>
        </w:rPr>
        <w:t xml:space="preserve">1</w:t>
      </w:r>
      <w:r>
        <w:rPr>
          <w:sz w:val="24"/>
        </w:rPr>
        <w:t xml:space="preserve"> на стальном валу </w:t>
      </w:r>
      <w:r>
        <w:rPr>
          <w:sz w:val="24"/>
          <w:i w:val="on"/>
        </w:rPr>
        <w:t xml:space="preserve">6</w:t>
      </w:r>
      <w:r>
        <w:rPr>
          <w:sz w:val="24"/>
        </w:rPr>
        <w:t xml:space="preserve">, зафиксированном в жесткой стальной раме </w:t>
      </w:r>
      <w:r>
        <w:rPr>
          <w:sz w:val="24"/>
          <w:i w:val="on"/>
        </w:rPr>
        <w:t xml:space="preserve">5</w:t>
      </w:r>
      <w:r>
        <w:rPr>
          <w:sz w:val="24"/>
        </w:rPr>
        <w:t xml:space="preserve">. Конструкция жесткой рамы такова, что позволяет смонтированному молотку совершать полный оборот при отсутствии испытуемого ОП </w:t>
      </w:r>
      <w:r>
        <w:rPr>
          <w:sz w:val="24"/>
          <w:i w:val="on"/>
        </w:rPr>
        <w:t xml:space="preserve">11</w:t>
      </w:r>
      <w:r>
        <w:rPr>
          <w:sz w:val="24"/>
        </w:rPr>
        <w:t xml:space="preserve">.</w:t>
      </w:r>
    </w:p>
    <w:p>
      <w:pPr>
        <w:pStyle w:val="0"/>
        <w:ind w:firstLine="540"/>
        <w:jc w:val="both"/>
      </w:pPr>
      <w:r>
        <w:rPr>
          <w:sz w:val="24"/>
        </w:rPr>
      </w:r>
    </w:p>
    <w:p>
      <w:pPr>
        <w:pStyle w:val="0"/>
        <w:jc w:val="center"/>
      </w:pPr>
      <w:r>
        <w:rPr>
          <w:position w:val="-366"/>
        </w:rPr>
        <w:drawing>
          <wp:inline distT="0" distB="0" distL="0" distR="0">
            <wp:extent cx="6028690" cy="4805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6028690" cy="4805045"/>
                    </a:xfrm>
                    <a:prstGeom prst="rect">
                      <a:avLst/>
                    </a:prstGeom>
                    <a:noFill/>
                    <a:ln>
                      <a:noFill/>
                    </a:ln>
                  </pic:spPr>
                </pic:pic>
              </a:graphicData>
            </a:graphic>
          </wp:inline>
        </w:drawing>
      </w:r>
    </w:p>
    <w:p>
      <w:pPr>
        <w:pStyle w:val="0"/>
        <w:ind w:firstLine="540"/>
        <w:jc w:val="both"/>
      </w:pPr>
      <w:r>
        <w:rPr>
          <w:sz w:val="24"/>
        </w:rPr>
      </w:r>
    </w:p>
    <w:p>
      <w:pPr>
        <w:pStyle w:val="0"/>
        <w:jc w:val="center"/>
      </w:pPr>
      <w:r>
        <w:rPr>
          <w:sz w:val="24"/>
          <w:i w:val="on"/>
        </w:rPr>
        <w:t xml:space="preserve">1</w:t>
      </w:r>
      <w:r>
        <w:rPr>
          <w:sz w:val="24"/>
        </w:rPr>
        <w:t xml:space="preserve"> - подшипник; </w:t>
      </w:r>
      <w:r>
        <w:rPr>
          <w:sz w:val="24"/>
          <w:i w:val="on"/>
        </w:rPr>
        <w:t xml:space="preserve">2</w:t>
      </w:r>
      <w:r>
        <w:rPr>
          <w:sz w:val="24"/>
        </w:rPr>
        <w:t xml:space="preserve"> - установочная пластина; </w:t>
      </w:r>
      <w:r>
        <w:rPr>
          <w:sz w:val="24"/>
          <w:i w:val="on"/>
        </w:rPr>
        <w:t xml:space="preserve">3</w:t>
      </w:r>
      <w:r>
        <w:rPr>
          <w:sz w:val="24"/>
        </w:rPr>
        <w:t xml:space="preserve"> - втулка;</w:t>
      </w:r>
    </w:p>
    <w:p>
      <w:pPr>
        <w:pStyle w:val="0"/>
        <w:jc w:val="center"/>
      </w:pPr>
      <w:r>
        <w:rPr>
          <w:sz w:val="24"/>
          <w:i w:val="on"/>
        </w:rPr>
        <w:t xml:space="preserve">4</w:t>
      </w:r>
      <w:r>
        <w:rPr>
          <w:sz w:val="24"/>
        </w:rPr>
        <w:t xml:space="preserve"> - ворот; </w:t>
      </w:r>
      <w:r>
        <w:rPr>
          <w:sz w:val="24"/>
          <w:i w:val="on"/>
        </w:rPr>
        <w:t xml:space="preserve">5</w:t>
      </w:r>
      <w:r>
        <w:rPr>
          <w:sz w:val="24"/>
        </w:rPr>
        <w:t xml:space="preserve"> - стальная рама; </w:t>
      </w:r>
      <w:r>
        <w:rPr>
          <w:sz w:val="24"/>
          <w:i w:val="on"/>
        </w:rPr>
        <w:t xml:space="preserve">6</w:t>
      </w:r>
      <w:r>
        <w:rPr>
          <w:sz w:val="24"/>
        </w:rPr>
        <w:t xml:space="preserve"> - вал; </w:t>
      </w:r>
      <w:r>
        <w:rPr>
          <w:sz w:val="24"/>
          <w:i w:val="on"/>
        </w:rPr>
        <w:t xml:space="preserve">7</w:t>
      </w:r>
      <w:r>
        <w:rPr>
          <w:sz w:val="24"/>
        </w:rPr>
        <w:t xml:space="preserve"> - ручки;</w:t>
      </w:r>
    </w:p>
    <w:p>
      <w:pPr>
        <w:pStyle w:val="0"/>
        <w:jc w:val="center"/>
      </w:pPr>
      <w:r>
        <w:rPr>
          <w:sz w:val="24"/>
          <w:i w:val="on"/>
        </w:rPr>
        <w:t xml:space="preserve">8</w:t>
      </w:r>
      <w:r>
        <w:rPr>
          <w:sz w:val="24"/>
        </w:rPr>
        <w:t xml:space="preserve"> - противовес; </w:t>
      </w:r>
      <w:r>
        <w:rPr>
          <w:sz w:val="24"/>
          <w:i w:val="on"/>
        </w:rPr>
        <w:t xml:space="preserve">9</w:t>
      </w:r>
      <w:r>
        <w:rPr>
          <w:sz w:val="24"/>
        </w:rPr>
        <w:t xml:space="preserve"> - рабочий груз; </w:t>
      </w:r>
      <w:r>
        <w:rPr>
          <w:sz w:val="24"/>
          <w:i w:val="on"/>
        </w:rPr>
        <w:t xml:space="preserve">10</w:t>
      </w:r>
      <w:r>
        <w:rPr>
          <w:sz w:val="24"/>
        </w:rPr>
        <w:t xml:space="preserve"> - ручка молотка;</w:t>
      </w:r>
    </w:p>
    <w:p>
      <w:pPr>
        <w:pStyle w:val="0"/>
        <w:jc w:val="center"/>
      </w:pPr>
      <w:r>
        <w:rPr>
          <w:sz w:val="24"/>
          <w:i w:val="on"/>
        </w:rPr>
        <w:t xml:space="preserve">11</w:t>
      </w:r>
      <w:r>
        <w:rPr>
          <w:sz w:val="24"/>
        </w:rPr>
        <w:t xml:space="preserve"> - испытуемый ОП; </w:t>
      </w:r>
      <w:r>
        <w:rPr>
          <w:sz w:val="24"/>
          <w:i w:val="on"/>
        </w:rPr>
        <w:t xml:space="preserve">12</w:t>
      </w:r>
      <w:r>
        <w:rPr>
          <w:sz w:val="24"/>
        </w:rPr>
        <w:t xml:space="preserve"> - головка молотка</w:t>
      </w:r>
    </w:p>
    <w:p>
      <w:pPr>
        <w:pStyle w:val="0"/>
        <w:ind w:firstLine="540"/>
        <w:jc w:val="both"/>
      </w:pPr>
      <w:r>
        <w:rPr>
          <w:sz w:val="24"/>
        </w:rPr>
      </w:r>
    </w:p>
    <w:p>
      <w:pPr>
        <w:pStyle w:val="0"/>
        <w:jc w:val="center"/>
      </w:pPr>
      <w:r>
        <w:rPr>
          <w:sz w:val="24"/>
        </w:rPr>
        <w:t xml:space="preserve">Рисунок Б.1</w:t>
      </w:r>
    </w:p>
    <w:p>
      <w:pPr>
        <w:pStyle w:val="0"/>
        <w:ind w:firstLine="540"/>
        <w:jc w:val="both"/>
      </w:pPr>
      <w:r>
        <w:rPr>
          <w:sz w:val="24"/>
        </w:rPr>
      </w:r>
    </w:p>
    <w:p>
      <w:pPr>
        <w:pStyle w:val="0"/>
        <w:ind w:firstLine="540"/>
        <w:jc w:val="both"/>
      </w:pPr>
      <w:r>
        <w:rPr>
          <w:sz w:val="24"/>
        </w:rPr>
        <w:t xml:space="preserve">Головка молотка выполнена из алюминиевого сплава AlCu</w:t>
      </w:r>
      <w:r>
        <w:rPr>
          <w:sz w:val="24"/>
          <w:vertAlign w:val="subscript"/>
        </w:rPr>
        <w:t xml:space="preserve">4</w:t>
      </w:r>
      <w:r>
        <w:rPr>
          <w:sz w:val="24"/>
        </w:rPr>
        <w:t xml:space="preserve">SiMg по </w:t>
      </w:r>
      <w:hyperlink w:history="0" r:id="rId69" w:tooltip="&quot;ГОСТ 4784-2019. Межгосударственный стандарт. Алюминий и сплавы алюминиевые деформируемые. Марки&quot; (введен в действие Приказом Росстандарта от 31.07.2019 N 435-ст) (ред. от 23.06.2025) {КонсультантПлюс}">
        <w:r>
          <w:rPr>
            <w:sz w:val="24"/>
            <w:color w:val="0000ff"/>
          </w:rPr>
          <w:t xml:space="preserve">ГОСТ 4784</w:t>
        </w:r>
      </w:hyperlink>
      <w:r>
        <w:rPr>
          <w:sz w:val="24"/>
        </w:rPr>
        <w:t xml:space="preserve">. Габаритные размеры головки молотка - 76 x 50 x 94 мм. Ручка молотка выполнена из стальной трубки, внешний диаметр которой (25,0 +/- 0,1) мм и толщина стенки (1,6 +/- 0,1) мм.</w:t>
      </w:r>
    </w:p>
    <w:p>
      <w:pPr>
        <w:pStyle w:val="0"/>
        <w:spacing w:before="240" w:lineRule="auto"/>
        <w:ind w:firstLine="540"/>
        <w:jc w:val="both"/>
      </w:pPr>
      <w:r>
        <w:rPr>
          <w:sz w:val="24"/>
        </w:rPr>
        <w:t xml:space="preserve">Продольная ось головки молотка находится на расстоянии 305 мм от оси вращения конструкции, эти оси взаимно перпендикулярны. Стальная втулка внешним диаметром 102 мм и длиной 200 мм установлена соосно на фиксированном стальном валу (диаметр стального вала зависит от диаметра используемых подшипников).</w:t>
      </w:r>
    </w:p>
    <w:p>
      <w:pPr>
        <w:pStyle w:val="0"/>
        <w:spacing w:before="240" w:lineRule="auto"/>
        <w:ind w:firstLine="540"/>
        <w:jc w:val="both"/>
      </w:pPr>
      <w:r>
        <w:rPr>
          <w:sz w:val="24"/>
        </w:rPr>
        <w:t xml:space="preserve">Диаметрально противоположно молотку в стальную втулку ввинчены две стальные ручки </w:t>
      </w:r>
      <w:r>
        <w:rPr>
          <w:sz w:val="24"/>
          <w:i w:val="on"/>
        </w:rPr>
        <w:t xml:space="preserve">7</w:t>
      </w:r>
      <w:r>
        <w:rPr>
          <w:sz w:val="24"/>
        </w:rPr>
        <w:t xml:space="preserve"> внешним диаметром 20 мм и длиной 185 мм. На ручки установлен стальной противовес </w:t>
      </w:r>
      <w:r>
        <w:rPr>
          <w:sz w:val="24"/>
          <w:i w:val="on"/>
        </w:rPr>
        <w:t xml:space="preserve">8</w:t>
      </w:r>
      <w:r>
        <w:rPr>
          <w:sz w:val="24"/>
        </w:rPr>
        <w:t xml:space="preserve"> таким образом, что при снятом рабочем грузе </w:t>
      </w:r>
      <w:r>
        <w:rPr>
          <w:sz w:val="24"/>
          <w:i w:val="on"/>
        </w:rPr>
        <w:t xml:space="preserve">9</w:t>
      </w:r>
      <w:r>
        <w:rPr>
          <w:sz w:val="24"/>
        </w:rPr>
        <w:t xml:space="preserve"> вес молотка и вес противовеса сбалансированы. Балансировку проводят путем перемещения противовеса по стальным ручкам. На конце стальной втулки закреплен ворот </w:t>
      </w:r>
      <w:r>
        <w:rPr>
          <w:sz w:val="24"/>
          <w:i w:val="on"/>
        </w:rPr>
        <w:t xml:space="preserve">4</w:t>
      </w:r>
      <w:r>
        <w:rPr>
          <w:sz w:val="24"/>
        </w:rPr>
        <w:t xml:space="preserve"> шириной 12 мм и диаметром 150 мм, выполненный из алюминиевого сплава. На ворот должна быть накручена нить из материала с низким коэффициентом растяжения, один конец которой зафиксирован в вороте. На другом конце нити закрепляют рабочий груз </w:t>
      </w:r>
      <w:r>
        <w:rPr>
          <w:sz w:val="24"/>
          <w:i w:val="on"/>
        </w:rPr>
        <w:t xml:space="preserve">9</w:t>
      </w:r>
      <w:r>
        <w:rPr>
          <w:sz w:val="24"/>
        </w:rPr>
        <w:t xml:space="preserve">. К жесткой раме крепят установочную пластину </w:t>
      </w:r>
      <w:r>
        <w:rPr>
          <w:sz w:val="24"/>
          <w:i w:val="on"/>
        </w:rPr>
        <w:t xml:space="preserve">2</w:t>
      </w:r>
      <w:r>
        <w:rPr>
          <w:sz w:val="24"/>
        </w:rPr>
        <w:t xml:space="preserve">, на которую устанавливают испытуемый ОП. Размеры элементов испытательного оборудования, на которые не приведен допуск, должны быть выдержаны с погрешностью +/- 1 мм.</w:t>
      </w:r>
    </w:p>
    <w:p>
      <w:pPr>
        <w:pStyle w:val="0"/>
        <w:spacing w:before="240" w:lineRule="auto"/>
        <w:ind w:firstLine="540"/>
        <w:jc w:val="both"/>
      </w:pPr>
      <w:r>
        <w:rPr>
          <w:sz w:val="24"/>
        </w:rPr>
        <w:t xml:space="preserve">Массу рабочего груза </w:t>
      </w:r>
      <w:r>
        <w:rPr>
          <w:sz w:val="24"/>
          <w:i w:val="on"/>
        </w:rPr>
        <w:t xml:space="preserve">m</w:t>
      </w:r>
      <w:r>
        <w:rPr>
          <w:sz w:val="24"/>
        </w:rPr>
        <w:t xml:space="preserve">, кг, необходимую для создания энергии удара (1,9 +/- 0,1) Дж, вычисляют по формуле</w:t>
      </w:r>
    </w:p>
    <w:p>
      <w:pPr>
        <w:pStyle w:val="0"/>
        <w:ind w:firstLine="540"/>
        <w:jc w:val="both"/>
      </w:pPr>
      <w:r>
        <w:rPr>
          <w:sz w:val="24"/>
        </w:rPr>
      </w:r>
    </w:p>
    <w:p>
      <w:pPr>
        <w:pStyle w:val="0"/>
        <w:jc w:val="center"/>
      </w:pPr>
      <w:r>
        <w:rPr>
          <w:position w:val="-27"/>
        </w:rPr>
        <w:drawing>
          <wp:inline distT="0" distB="0" distL="0" distR="0">
            <wp:extent cx="68580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685800" cy="50292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 </w:t>
      </w:r>
      <w:r>
        <w:rPr>
          <w:sz w:val="24"/>
          <w:i w:val="on"/>
        </w:rPr>
        <w:t xml:space="preserve">E</w:t>
      </w:r>
      <w:r>
        <w:rPr>
          <w:sz w:val="24"/>
        </w:rPr>
        <w:t xml:space="preserve"> - энергия удара, Дж;</w:t>
      </w:r>
    </w:p>
    <w:p>
      <w:pPr>
        <w:pStyle w:val="0"/>
        <w:spacing w:before="240" w:lineRule="auto"/>
        <w:ind w:firstLine="540"/>
        <w:jc w:val="both"/>
      </w:pPr>
      <w:r>
        <w:rPr>
          <w:position w:val="-3"/>
        </w:rPr>
        <w:drawing>
          <wp:inline distT="0" distB="0" distL="0" distR="0">
            <wp:extent cx="17145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71450" cy="194310"/>
                    </a:xfrm>
                    <a:prstGeom prst="rect">
                      <a:avLst/>
                    </a:prstGeom>
                    <a:noFill/>
                    <a:ln>
                      <a:noFill/>
                    </a:ln>
                  </pic:spPr>
                </pic:pic>
              </a:graphicData>
            </a:graphic>
          </wp:inline>
        </w:drawing>
      </w:r>
      <w:r>
        <w:rPr>
          <w:sz w:val="24"/>
        </w:rPr>
        <w:t xml:space="preserve"> - задаваемый угол (угол, на который отводится молоток от испытуемого ОП при ударе), рад;</w:t>
      </w:r>
    </w:p>
    <w:p>
      <w:pPr>
        <w:pStyle w:val="0"/>
        <w:spacing w:before="240" w:lineRule="auto"/>
        <w:ind w:firstLine="540"/>
        <w:jc w:val="both"/>
      </w:pPr>
      <w:r>
        <w:rPr>
          <w:sz w:val="24"/>
          <w:i w:val="on"/>
        </w:rPr>
        <w:t xml:space="preserve">r</w:t>
      </w:r>
      <w:r>
        <w:rPr>
          <w:sz w:val="24"/>
        </w:rPr>
        <w:t xml:space="preserve"> - радиус ворота, м;</w:t>
      </w:r>
    </w:p>
    <w:p>
      <w:pPr>
        <w:pStyle w:val="0"/>
        <w:spacing w:before="240" w:lineRule="auto"/>
        <w:ind w:firstLine="540"/>
        <w:jc w:val="both"/>
      </w:pPr>
      <w:r>
        <w:rPr>
          <w:sz w:val="24"/>
          <w:i w:val="on"/>
        </w:rPr>
        <w:t xml:space="preserve">g</w:t>
      </w:r>
      <w:r>
        <w:rPr>
          <w:sz w:val="24"/>
        </w:rPr>
        <w:t xml:space="preserve"> - ускорение свободного падения, м/с</w:t>
      </w:r>
      <w:r>
        <w:rPr>
          <w:sz w:val="24"/>
          <w:vertAlign w:val="superscript"/>
        </w:rPr>
        <w:t xml:space="preserve">2</w:t>
      </w:r>
      <w:r>
        <w:rPr>
          <w:sz w:val="24"/>
        </w:rPr>
        <w:t xml:space="preserve">.</w:t>
      </w:r>
    </w:p>
    <w:p>
      <w:pPr>
        <w:pStyle w:val="0"/>
        <w:spacing w:before="240" w:lineRule="auto"/>
        <w:ind w:firstLine="540"/>
        <w:jc w:val="both"/>
      </w:pPr>
      <w:r>
        <w:rPr>
          <w:sz w:val="24"/>
        </w:rPr>
        <w:t xml:space="preserve">Линейная скорость головки молотка в момент удара должна быть (1,500 +/- 0,125) м/с.</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В</w:t>
      </w:r>
    </w:p>
    <w:p>
      <w:pPr>
        <w:pStyle w:val="0"/>
        <w:jc w:val="right"/>
      </w:pPr>
      <w:r>
        <w:rPr>
          <w:sz w:val="24"/>
          <w:b w:val="on"/>
        </w:rPr>
        <w:t xml:space="preserve">(обязательное)</w:t>
      </w:r>
    </w:p>
    <w:p>
      <w:pPr>
        <w:pStyle w:val="0"/>
        <w:ind w:firstLine="540"/>
        <w:jc w:val="both"/>
      </w:pPr>
      <w:r>
        <w:rPr>
          <w:sz w:val="24"/>
        </w:rPr>
      </w:r>
    </w:p>
    <w:bookmarkStart w:id="905" w:name="P905"/>
    <w:bookmarkEnd w:id="905"/>
    <w:p>
      <w:pPr>
        <w:pStyle w:val="2"/>
        <w:jc w:val="center"/>
      </w:pPr>
      <w:r>
        <w:rPr>
          <w:sz w:val="24"/>
          <w:b w:val="on"/>
        </w:rPr>
        <w:t xml:space="preserve">ИСПЫТАНИЕ НА ОТСУТСТВИЕ ВЛИЯНИЯ НЕИСПРАВНОСТИ ОП</w:t>
      </w:r>
    </w:p>
    <w:p>
      <w:pPr>
        <w:pStyle w:val="2"/>
        <w:jc w:val="center"/>
      </w:pPr>
      <w:r>
        <w:rPr>
          <w:sz w:val="24"/>
          <w:b w:val="on"/>
        </w:rPr>
        <w:t xml:space="preserve">ПРИ ПОЖАРЕ НА РАБОТОСПОСОБНОСТЬ ДРУГИХ ОП,</w:t>
      </w:r>
    </w:p>
    <w:p>
      <w:pPr>
        <w:pStyle w:val="2"/>
        <w:jc w:val="center"/>
      </w:pPr>
      <w:r>
        <w:rPr>
          <w:sz w:val="24"/>
          <w:b w:val="on"/>
        </w:rPr>
        <w:t xml:space="preserve">ПОДКЛЮЧЕННЫХ К ТЕМ ЖЕ ПРОВОДНЫМ ЛИНИЯМ СВЯЗИ</w:t>
      </w:r>
    </w:p>
    <w:p>
      <w:pPr>
        <w:pStyle w:val="0"/>
        <w:ind w:firstLine="540"/>
        <w:jc w:val="both"/>
      </w:pPr>
      <w:r>
        <w:rPr>
          <w:sz w:val="24"/>
        </w:rPr>
      </w:r>
    </w:p>
    <w:p>
      <w:pPr>
        <w:pStyle w:val="0"/>
        <w:ind w:firstLine="540"/>
        <w:jc w:val="both"/>
      </w:pPr>
      <w:r>
        <w:rPr>
          <w:sz w:val="24"/>
        </w:rPr>
        <w:t xml:space="preserve">Испытание проводят на стендовом оборудовании в соответствии с </w:t>
      </w:r>
      <w:hyperlink w:history="0" r:id="rId72" w:tooltip="&quot;ГОСТ 30247.0-94. Конструкции строительные. Методы испытаний на огнестойкость. Общие требования&quot; (введен в действие Постановлением Минстроя РФ от 23.03.1995 N 18-26) {КонсультантПлюс}">
        <w:r>
          <w:rPr>
            <w:sz w:val="24"/>
            <w:color w:val="0000ff"/>
          </w:rPr>
          <w:t xml:space="preserve">разделом 5</w:t>
        </w:r>
      </w:hyperlink>
      <w:r>
        <w:rPr>
          <w:sz w:val="24"/>
        </w:rPr>
        <w:t xml:space="preserve"> ГОСТ 30247.0-94. Установка образцов должна соответствовать ТД.</w:t>
      </w:r>
    </w:p>
    <w:p>
      <w:pPr>
        <w:pStyle w:val="0"/>
        <w:spacing w:before="240" w:lineRule="auto"/>
        <w:ind w:firstLine="540"/>
        <w:jc w:val="both"/>
      </w:pPr>
      <w:r>
        <w:rPr>
          <w:sz w:val="24"/>
        </w:rPr>
        <w:t xml:space="preserve">В соответствии с ТД на ОП к клеммам испытуемого образца подключают все внешние проводные линии (линии электропитания, связи), к которым могут быть подключены несколько ОП. К этим же линиям через клеммы испытуемого оповещателя подключают дополнительный образец, расположенный вне испытательной печи (см. рисунок В.1).</w:t>
      </w:r>
    </w:p>
    <w:p>
      <w:pPr>
        <w:pStyle w:val="0"/>
        <w:ind w:firstLine="540"/>
        <w:jc w:val="both"/>
      </w:pPr>
      <w:r>
        <w:rPr>
          <w:sz w:val="24"/>
        </w:rPr>
      </w:r>
    </w:p>
    <w:p>
      <w:pPr>
        <w:pStyle w:val="0"/>
        <w:jc w:val="center"/>
      </w:pPr>
      <w:r>
        <w:rPr>
          <w:position w:val="-143"/>
        </w:rPr>
        <w:drawing>
          <wp:inline distT="0" distB="0" distL="0" distR="0">
            <wp:extent cx="5208270" cy="1971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5208270" cy="1971040"/>
                    </a:xfrm>
                    <a:prstGeom prst="rect">
                      <a:avLst/>
                    </a:prstGeom>
                    <a:noFill/>
                    <a:ln>
                      <a:noFill/>
                    </a:ln>
                  </pic:spPr>
                </pic:pic>
              </a:graphicData>
            </a:graphic>
          </wp:inline>
        </w:drawing>
      </w:r>
    </w:p>
    <w:p>
      <w:pPr>
        <w:pStyle w:val="0"/>
        <w:ind w:firstLine="540"/>
        <w:jc w:val="both"/>
      </w:pPr>
      <w:r>
        <w:rPr>
          <w:sz w:val="24"/>
        </w:rPr>
      </w:r>
    </w:p>
    <w:p>
      <w:pPr>
        <w:pStyle w:val="0"/>
        <w:jc w:val="center"/>
      </w:pPr>
      <w:r>
        <w:rPr>
          <w:sz w:val="24"/>
        </w:rPr>
        <w:t xml:space="preserve">Рисунок В.1 - Схема подключения образцов</w:t>
      </w:r>
    </w:p>
    <w:p>
      <w:pPr>
        <w:pStyle w:val="0"/>
        <w:ind w:firstLine="540"/>
        <w:jc w:val="both"/>
      </w:pPr>
      <w:r>
        <w:rPr>
          <w:sz w:val="24"/>
        </w:rPr>
      </w:r>
    </w:p>
    <w:p>
      <w:pPr>
        <w:pStyle w:val="0"/>
        <w:ind w:firstLine="540"/>
        <w:jc w:val="both"/>
      </w:pPr>
      <w:r>
        <w:rPr>
          <w:sz w:val="24"/>
        </w:rPr>
        <w:t xml:space="preserve">Все соединения должны быть выполнены огнестойкой кабельной линией, сохраняющей работоспособность в условиях пожара не менее 30 мин, допущенной к применению в порядке, установленном действующим законодательством государства - участника Соглашения, принявшего настоящий стандарт.</w:t>
      </w:r>
    </w:p>
    <w:p>
      <w:pPr>
        <w:pStyle w:val="0"/>
        <w:spacing w:before="240" w:lineRule="auto"/>
        <w:ind w:firstLine="540"/>
        <w:jc w:val="both"/>
      </w:pPr>
      <w:r>
        <w:rPr>
          <w:sz w:val="24"/>
        </w:rPr>
        <w:t xml:space="preserve">При проведении испытаний ОП должны быть включены.</w:t>
      </w:r>
    </w:p>
    <w:p>
      <w:pPr>
        <w:pStyle w:val="0"/>
        <w:spacing w:before="240" w:lineRule="auto"/>
        <w:ind w:firstLine="540"/>
        <w:jc w:val="both"/>
      </w:pPr>
      <w:r>
        <w:rPr>
          <w:sz w:val="24"/>
        </w:rPr>
        <w:t xml:space="preserve">В испытательной печи устанавливают стандартный температурный режим в соответствии с </w:t>
      </w:r>
      <w:hyperlink w:history="0" r:id="rId74" w:tooltip="&quot;ГОСТ 30247.0-94. Конструкции строительные. Методы испытаний на огнестойкость. Общие требования&quot; (введен в действие Постановлением Минстроя РФ от 23.03.1995 N 18-26) {КонсультантПлюс}">
        <w:r>
          <w:rPr>
            <w:sz w:val="24"/>
            <w:color w:val="0000ff"/>
          </w:rPr>
          <w:t xml:space="preserve">разделом 6</w:t>
        </w:r>
      </w:hyperlink>
      <w:r>
        <w:rPr>
          <w:sz w:val="24"/>
        </w:rPr>
        <w:t xml:space="preserve"> ГОСТ 30247.0-94. Время теплового воздействия - 15 мин.</w:t>
      </w:r>
    </w:p>
    <w:p>
      <w:pPr>
        <w:pStyle w:val="0"/>
        <w:spacing w:before="240" w:lineRule="auto"/>
        <w:ind w:firstLine="540"/>
        <w:jc w:val="both"/>
      </w:pPr>
      <w:r>
        <w:rPr>
          <w:sz w:val="24"/>
        </w:rPr>
        <w:t xml:space="preserve">ОП считают выдержавшим испытание, если дополнительный образец остается работоспособным в течение всего времени испытания.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4535"/>
        <w:gridCol w:w="4535"/>
      </w:tblGrid>
      <w:tr>
        <w:tc>
          <w:tcPr>
            <w:tcW w:w="4535" w:type="dxa"/>
            <w:tcBorders>
              <w:top w:val="single" w:sz="4"/>
              <w:left w:val="nil"/>
              <w:bottom w:val="nil"/>
              <w:right w:val="nil"/>
            </w:tcBorders>
          </w:tcPr>
          <w:p>
            <w:pPr>
              <w:pStyle w:val="0"/>
            </w:pPr>
            <w:r>
              <w:rPr>
                <w:sz w:val="24"/>
              </w:rPr>
              <w:t xml:space="preserve">УДК 614.842.4:006.354</w:t>
            </w:r>
          </w:p>
        </w:tc>
        <w:tc>
          <w:tcPr>
            <w:tcW w:w="4535" w:type="dxa"/>
            <w:tcBorders>
              <w:top w:val="single" w:sz="4"/>
              <w:left w:val="nil"/>
              <w:bottom w:val="nil"/>
              <w:right w:val="nil"/>
            </w:tcBorders>
          </w:tcPr>
          <w:p>
            <w:pPr>
              <w:pStyle w:val="0"/>
              <w:jc w:val="right"/>
            </w:pPr>
            <w:r>
              <w:rPr>
                <w:sz w:val="24"/>
              </w:rPr>
              <w:t xml:space="preserve">МКС </w:t>
            </w:r>
            <w:hyperlink w:history="0" r:id="rId75" w:tooltip="&quot;МК (ИСО/ИНФКО МКС) 001-96. Межгосударственный классификатор стандартов&quot; (принят Межгосударственным Советом по стандартизации, метрологии и сертификации, протокол от 11 - 12.04.1996 N 9-96) (ред. от 07.06.2013) {КонсультантПлюс}">
              <w:r>
                <w:rPr>
                  <w:sz w:val="24"/>
                  <w:color w:val="0000ff"/>
                </w:rPr>
                <w:t xml:space="preserve">13.220.20</w:t>
              </w:r>
            </w:hyperlink>
          </w:p>
        </w:tc>
      </w:tr>
      <w:tr>
        <w:tc>
          <w:tcPr>
            <w:gridSpan w:val="2"/>
            <w:tcW w:w="9070" w:type="dxa"/>
            <w:tcBorders>
              <w:top w:val="nil"/>
              <w:left w:val="nil"/>
              <w:bottom w:val="single" w:sz="4"/>
              <w:right w:val="nil"/>
            </w:tcBorders>
          </w:tcPr>
          <w:p>
            <w:pPr>
              <w:pStyle w:val="0"/>
              <w:jc w:val="both"/>
            </w:pPr>
            <w:r>
              <w:rPr>
                <w:sz w:val="24"/>
              </w:rPr>
              <w:t xml:space="preserve">Ключевые слова: оповещатель пожарный, частота мигания, уровень звукового давления, яркость</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"ГОСТ 34699-2020. Межгосударственный стандарт. Технические средства оповещения и управления эвакуацией пожарные. Общие 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07.07.2026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"ГОСТ 34699-2020. Межгосударственный стандарт. Технические средства оповещения и управления эвакуацией пожарные. Общие 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21338&amp;date=07.07.2026" TargetMode = "External"/><Relationship Id="rId9" Type="http://schemas.openxmlformats.org/officeDocument/2006/relationships/hyperlink" Target="https://login.consultant.ru/link/?req=doc&amp;base=LAW&amp;n=341329&amp;date=07.07.2026&amp;dst=100654&amp;field=134" TargetMode = "External"/><Relationship Id="rId10" Type="http://schemas.openxmlformats.org/officeDocument/2006/relationships/hyperlink" Target="https://login.consultant.ru/link/?req=doc&amp;base=OTN&amp;n=11011&amp;date=07.07.2026" TargetMode = "External"/><Relationship Id="rId11" Type="http://schemas.openxmlformats.org/officeDocument/2006/relationships/hyperlink" Target="https://login.consultant.ru/link/?req=doc&amp;base=OTN&amp;n=42677&amp;date=07.07.2026" TargetMode = "External"/><Relationship Id="rId12" Type="http://schemas.openxmlformats.org/officeDocument/2006/relationships/hyperlink" Target="https://login.consultant.ru/link/?req=doc&amp;base=LAW&amp;n=421338&amp;date=07.07.2026&amp;dst=100013&amp;field=134" TargetMode = "External"/><Relationship Id="rId13" Type="http://schemas.openxmlformats.org/officeDocument/2006/relationships/hyperlink" Target="https://login.consultant.ru/link/?req=doc&amp;base=STR&amp;n=4371&amp;date=07.07.2026" TargetMode = "External"/><Relationship Id="rId14" Type="http://schemas.openxmlformats.org/officeDocument/2006/relationships/hyperlink" Target="https://login.consultant.ru/link/?req=doc&amp;base=STR&amp;n=7996&amp;date=07.07.2026" TargetMode = "External"/><Relationship Id="rId15" Type="http://schemas.openxmlformats.org/officeDocument/2006/relationships/hyperlink" Target="https://login.consultant.ru/link/?req=doc&amp;base=LAW&amp;n=322547&amp;date=07.07.2026" TargetMode = "External"/><Relationship Id="rId16" Type="http://schemas.openxmlformats.org/officeDocument/2006/relationships/hyperlink" Target="https://login.consultant.ru/link/?req=doc&amp;base=OTN&amp;n=45320&amp;date=07.07.2026" TargetMode = "External"/><Relationship Id="rId17" Type="http://schemas.openxmlformats.org/officeDocument/2006/relationships/hyperlink" Target="https://login.consultant.ru/link/?req=doc&amp;base=STR&amp;n=20237&amp;date=07.07.2026" TargetMode = "External"/><Relationship Id="rId18" Type="http://schemas.openxmlformats.org/officeDocument/2006/relationships/hyperlink" Target="https://login.consultant.ru/link/?req=doc&amp;base=OTN&amp;n=22763&amp;date=07.07.2026" TargetMode = "External"/><Relationship Id="rId19" Type="http://schemas.openxmlformats.org/officeDocument/2006/relationships/hyperlink" Target="https://login.consultant.ru/link/?req=doc&amp;base=OTN&amp;n=22596&amp;date=07.07.2026" TargetMode = "External"/><Relationship Id="rId20" Type="http://schemas.openxmlformats.org/officeDocument/2006/relationships/hyperlink" Target="https://login.consultant.ru/link/?req=doc&amp;base=OTN&amp;n=23557&amp;date=07.07.2026" TargetMode = "External"/><Relationship Id="rId21" Type="http://schemas.openxmlformats.org/officeDocument/2006/relationships/hyperlink" Target="https://login.consultant.ru/link/?req=doc&amp;base=OTN&amp;n=20711&amp;date=07.07.2026" TargetMode = "External"/><Relationship Id="rId22" Type="http://schemas.openxmlformats.org/officeDocument/2006/relationships/hyperlink" Target="https://login.consultant.ru/link/?req=doc&amp;base=OTN&amp;n=26550&amp;date=07.07.2026" TargetMode = "External"/><Relationship Id="rId23" Type="http://schemas.openxmlformats.org/officeDocument/2006/relationships/hyperlink" Target="https://login.consultant.ru/link/?req=doc&amp;base=OTN&amp;n=22764&amp;date=07.07.2026" TargetMode = "External"/><Relationship Id="rId24" Type="http://schemas.openxmlformats.org/officeDocument/2006/relationships/hyperlink" Target="https://login.consultant.ru/link/?req=doc&amp;base=STR&amp;n=351&amp;date=07.07.2026" TargetMode = "External"/><Relationship Id="rId25" Type="http://schemas.openxmlformats.org/officeDocument/2006/relationships/hyperlink" Target="https://login.consultant.ru/link/?req=doc&amp;base=OTN&amp;n=25468&amp;date=07.07.2026" TargetMode = "External"/><Relationship Id="rId26" Type="http://schemas.openxmlformats.org/officeDocument/2006/relationships/hyperlink" Target="https://login.consultant.ru/link/?req=doc&amp;base=STR&amp;n=17808&amp;date=07.07.2026" TargetMode = "External"/><Relationship Id="rId27" Type="http://schemas.openxmlformats.org/officeDocument/2006/relationships/hyperlink" Target="https://login.consultant.ru/link/?req=doc&amp;base=STR&amp;n=18169&amp;date=07.07.2026" TargetMode = "External"/><Relationship Id="rId28" Type="http://schemas.openxmlformats.org/officeDocument/2006/relationships/hyperlink" Target="https://login.consultant.ru/link/?req=doc&amp;base=STR&amp;n=18171&amp;date=07.07.2026" TargetMode = "External"/><Relationship Id="rId29" Type="http://schemas.openxmlformats.org/officeDocument/2006/relationships/hyperlink" Target="https://login.consultant.ru/link/?req=doc&amp;base=STR&amp;n=17837&amp;date=07.07.2026" TargetMode = "External"/><Relationship Id="rId30" Type="http://schemas.openxmlformats.org/officeDocument/2006/relationships/hyperlink" Target="https://login.consultant.ru/link/?req=doc&amp;base=OTN&amp;n=7824&amp;date=07.07.2026" TargetMode = "External"/><Relationship Id="rId31" Type="http://schemas.openxmlformats.org/officeDocument/2006/relationships/hyperlink" Target="https://login.consultant.ru/link/?req=doc&amp;base=STR&amp;n=18321&amp;date=07.07.2026" TargetMode = "External"/><Relationship Id="rId32" Type="http://schemas.openxmlformats.org/officeDocument/2006/relationships/hyperlink" Target="https://login.consultant.ru/link/?req=doc&amp;base=OTN&amp;n=25529&amp;date=07.07.2026" TargetMode = "External"/><Relationship Id="rId33" Type="http://schemas.openxmlformats.org/officeDocument/2006/relationships/hyperlink" Target="https://login.consultant.ru/link/?req=doc&amp;base=LAW&amp;n=322547&amp;date=07.07.2026" TargetMode = "External"/><Relationship Id="rId34" Type="http://schemas.openxmlformats.org/officeDocument/2006/relationships/hyperlink" Target="https://login.consultant.ru/link/?req=doc&amp;base=STR&amp;n=20237&amp;date=07.07.2026" TargetMode = "External"/><Relationship Id="rId35" Type="http://schemas.openxmlformats.org/officeDocument/2006/relationships/hyperlink" Target="https://login.consultant.ru/link/?req=doc&amp;base=STR&amp;n=13216&amp;date=07.07.2026" TargetMode = "External"/><Relationship Id="rId36" Type="http://schemas.openxmlformats.org/officeDocument/2006/relationships/header" Target="header2.xml"/><Relationship Id="rId37" Type="http://schemas.openxmlformats.org/officeDocument/2006/relationships/footer" Target="footer2.xml"/><Relationship Id="rId38" Type="http://schemas.openxmlformats.org/officeDocument/2006/relationships/hyperlink" Target="https://login.consultant.ru/link/?req=doc&amp;base=STR&amp;n=4371&amp;date=07.07.2026" TargetMode = "External"/><Relationship Id="rId39" Type="http://schemas.openxmlformats.org/officeDocument/2006/relationships/hyperlink" Target="https://login.consultant.ru/link/?req=doc&amp;base=STR&amp;n=18321&amp;date=07.07.2026" TargetMode = "External"/><Relationship Id="rId40" Type="http://schemas.openxmlformats.org/officeDocument/2006/relationships/hyperlink" Target="https://login.consultant.ru/link/?req=doc&amp;base=STR&amp;n=7996&amp;date=07.07.2026" TargetMode = "External"/><Relationship Id="rId41" Type="http://schemas.openxmlformats.org/officeDocument/2006/relationships/hyperlink" Target="https://login.consultant.ru/link/?req=doc&amp;base=OTN&amp;n=22596&amp;date=07.07.2026" TargetMode = "External"/><Relationship Id="rId42" Type="http://schemas.openxmlformats.org/officeDocument/2006/relationships/hyperlink" Target="https://login.consultant.ru/link/?req=doc&amp;base=OTN&amp;n=22763&amp;date=07.07.2026" TargetMode = "External"/><Relationship Id="rId43" Type="http://schemas.openxmlformats.org/officeDocument/2006/relationships/hyperlink" Target="https://login.consultant.ru/link/?req=doc&amp;base=OTN&amp;n=23557&amp;date=07.07.2026" TargetMode = "External"/><Relationship Id="rId44" Type="http://schemas.openxmlformats.org/officeDocument/2006/relationships/image" Target="media/image2.wmf"/><Relationship Id="rId45" Type="http://schemas.openxmlformats.org/officeDocument/2006/relationships/hyperlink" Target="https://login.consultant.ru/link/?req=doc&amp;base=OTN&amp;n=22764&amp;date=07.07.2026" TargetMode = "External"/><Relationship Id="rId46" Type="http://schemas.openxmlformats.org/officeDocument/2006/relationships/hyperlink" Target="https://login.consultant.ru/link/?req=doc&amp;base=OTN&amp;n=20711&amp;date=07.07.2026" TargetMode = "External"/><Relationship Id="rId47" Type="http://schemas.openxmlformats.org/officeDocument/2006/relationships/hyperlink" Target="https://login.consultant.ru/link/?req=doc&amp;base=STR&amp;n=18321&amp;date=07.07.2026&amp;dst=100615&amp;field=134" TargetMode = "External"/><Relationship Id="rId48" Type="http://schemas.openxmlformats.org/officeDocument/2006/relationships/hyperlink" Target="https://login.consultant.ru/link/?req=doc&amp;base=STR&amp;n=18321&amp;date=07.07.2026&amp;dst=101381&amp;field=134" TargetMode = "External"/><Relationship Id="rId49" Type="http://schemas.openxmlformats.org/officeDocument/2006/relationships/hyperlink" Target="https://login.consultant.ru/link/?req=doc&amp;base=OTN&amp;n=22763&amp;date=07.07.2026" TargetMode = "External"/><Relationship Id="rId50" Type="http://schemas.openxmlformats.org/officeDocument/2006/relationships/hyperlink" Target="https://login.consultant.ru/link/?req=doc&amp;base=OTN&amp;n=22596&amp;date=07.07.2026" TargetMode = "External"/><Relationship Id="rId51" Type="http://schemas.openxmlformats.org/officeDocument/2006/relationships/hyperlink" Target="https://login.consultant.ru/link/?req=doc&amp;base=OTN&amp;n=23557&amp;date=07.07.2026" TargetMode = "External"/><Relationship Id="rId52" Type="http://schemas.openxmlformats.org/officeDocument/2006/relationships/hyperlink" Target="https://login.consultant.ru/link/?req=doc&amp;base=OTN&amp;n=26550&amp;date=07.07.2026" TargetMode = "External"/><Relationship Id="rId53" Type="http://schemas.openxmlformats.org/officeDocument/2006/relationships/hyperlink" Target="https://login.consultant.ru/link/?req=doc&amp;base=OTN&amp;n=25468&amp;date=07.07.2026" TargetMode = "External"/><Relationship Id="rId54" Type="http://schemas.openxmlformats.org/officeDocument/2006/relationships/hyperlink" Target="https://login.consultant.ru/link/?req=doc&amp;base=OTN&amp;n=25529&amp;date=07.07.2026" TargetMode = "External"/><Relationship Id="rId55" Type="http://schemas.openxmlformats.org/officeDocument/2006/relationships/hyperlink" Target="https://login.consultant.ru/link/?req=doc&amp;base=STR&amp;n=18171&amp;date=07.07.2026" TargetMode = "External"/><Relationship Id="rId56" Type="http://schemas.openxmlformats.org/officeDocument/2006/relationships/hyperlink" Target="https://login.consultant.ru/link/?req=doc&amp;base=STR&amp;n=17837&amp;date=07.07.2026" TargetMode = "External"/><Relationship Id="rId57" Type="http://schemas.openxmlformats.org/officeDocument/2006/relationships/hyperlink" Target="https://login.consultant.ru/link/?req=doc&amp;base=STR&amp;n=17808&amp;date=07.07.2026" TargetMode = "External"/><Relationship Id="rId58" Type="http://schemas.openxmlformats.org/officeDocument/2006/relationships/hyperlink" Target="https://login.consultant.ru/link/?req=doc&amp;base=STR&amp;n=18169&amp;date=07.07.2026" TargetMode = "External"/><Relationship Id="rId59" Type="http://schemas.openxmlformats.org/officeDocument/2006/relationships/hyperlink" Target="https://login.consultant.ru/link/?req=doc&amp;base=OTN&amp;n=7824&amp;date=07.07.2026&amp;dst=100117&amp;field=134" TargetMode = "External"/><Relationship Id="rId60" Type="http://schemas.openxmlformats.org/officeDocument/2006/relationships/hyperlink" Target="https://login.consultant.ru/link/?req=doc&amp;base=OTN&amp;n=7824&amp;date=07.07.2026&amp;dst=100195&amp;field=134" TargetMode = "External"/><Relationship Id="rId61" Type="http://schemas.openxmlformats.org/officeDocument/2006/relationships/hyperlink" Target="https://login.consultant.ru/link/?req=doc&amp;base=OTN&amp;n=7824&amp;date=07.07.2026" TargetMode = "External"/><Relationship Id="rId62" Type="http://schemas.openxmlformats.org/officeDocument/2006/relationships/hyperlink" Target="https://login.consultant.ru/link/?req=doc&amp;base=OTN&amp;n=25529&amp;date=07.07.2026" TargetMode = "External"/><Relationship Id="rId63" Type="http://schemas.openxmlformats.org/officeDocument/2006/relationships/hyperlink" Target="https://login.consultant.ru/link/?req=doc&amp;base=STR&amp;n=18171&amp;date=07.07.2026" TargetMode = "External"/><Relationship Id="rId64" Type="http://schemas.openxmlformats.org/officeDocument/2006/relationships/hyperlink" Target="https://login.consultant.ru/link/?req=doc&amp;base=STR&amp;n=17837&amp;date=07.07.2026" TargetMode = "External"/><Relationship Id="rId65" Type="http://schemas.openxmlformats.org/officeDocument/2006/relationships/hyperlink" Target="https://login.consultant.ru/link/?req=doc&amp;base=STR&amp;n=17808&amp;date=07.07.2026" TargetMode = "External"/><Relationship Id="rId66" Type="http://schemas.openxmlformats.org/officeDocument/2006/relationships/hyperlink" Target="https://login.consultant.ru/link/?req=doc&amp;base=STR&amp;n=18169&amp;date=07.07.2026" TargetMode = "External"/><Relationship Id="rId67" Type="http://schemas.openxmlformats.org/officeDocument/2006/relationships/hyperlink" Target="https://login.consultant.ru/link/?req=doc&amp;base=OTN&amp;n=7824&amp;date=07.07.2026" TargetMode = "External"/><Relationship Id="rId68" Type="http://schemas.openxmlformats.org/officeDocument/2006/relationships/image" Target="media/image3.png"/><Relationship Id="rId69" Type="http://schemas.openxmlformats.org/officeDocument/2006/relationships/hyperlink" Target="https://login.consultant.ru/link/?req=doc&amp;base=OTN&amp;n=45320&amp;date=07.07.2026" TargetMode = "External"/><Relationship Id="rId70" Type="http://schemas.openxmlformats.org/officeDocument/2006/relationships/image" Target="media/image4.wmf"/><Relationship Id="rId71" Type="http://schemas.openxmlformats.org/officeDocument/2006/relationships/image" Target="media/image5.wmf"/><Relationship Id="rId72" Type="http://schemas.openxmlformats.org/officeDocument/2006/relationships/hyperlink" Target="https://login.consultant.ru/link/?req=doc&amp;base=STR&amp;n=351&amp;date=07.07.2026&amp;dst=100025&amp;field=134" TargetMode = "External"/><Relationship Id="rId73" Type="http://schemas.openxmlformats.org/officeDocument/2006/relationships/image" Target="media/image6.png"/><Relationship Id="rId74" Type="http://schemas.openxmlformats.org/officeDocument/2006/relationships/hyperlink" Target="https://login.consultant.ru/link/?req=doc&amp;base=STR&amp;n=351&amp;date=07.07.2026&amp;dst=100066&amp;field=134" TargetMode = "External"/><Relationship Id="rId75" Type="http://schemas.openxmlformats.org/officeDocument/2006/relationships/hyperlink" Target="https://login.consultant.ru/link/?req=doc&amp;base=LAW&amp;n=341329&amp;date=07.07.2026&amp;dst=10065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(введен в действие Приказом Росстандарта от 29.06.2021 N 599-ст)</dc:title>
  <dcterms:created xsi:type="dcterms:W3CDTF">2026-07-07T08:04:35Z</dcterms:created>
</cp:coreProperties>
</file>